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jc w:val="center"/>
        <w:tblLayout w:type="fixed"/>
        <w:tblLook w:val="01E0" w:firstRow="1" w:lastRow="1" w:firstColumn="1" w:lastColumn="1" w:noHBand="0" w:noVBand="0"/>
      </w:tblPr>
      <w:tblGrid>
        <w:gridCol w:w="5529"/>
        <w:gridCol w:w="5670"/>
      </w:tblGrid>
      <w:tr>
        <w:trPr>
          <w:trHeight w:val="577"/>
          <w:jc w:val="center"/>
        </w:trPr>
        <w:tc>
          <w:tcPr>
            <w:tcW w:w="5529" w:type="dxa"/>
          </w:tcPr>
          <w:p>
            <w:pPr>
              <w:spacing w:line="257" w:lineRule="auto"/>
              <w:jc w:val="center"/>
              <w:rPr>
                <w:rFonts w:ascii="Times New Roman" w:hAnsi="Times New Roman" w:cs="Times New Roman"/>
                <w:sz w:val="26"/>
                <w:szCs w:val="26"/>
              </w:rPr>
            </w:pPr>
            <w:r>
              <w:rPr>
                <w:rFonts w:ascii="Times New Roman" w:hAnsi="Times New Roman" w:cs="Times New Roman"/>
                <w:b/>
                <w:sz w:val="26"/>
                <w:szCs w:val="26"/>
              </w:rPr>
              <w:br w:type="page"/>
            </w:r>
            <w:r>
              <w:rPr>
                <w:rFonts w:ascii="Times New Roman" w:hAnsi="Times New Roman" w:cs="Times New Roman"/>
                <w:sz w:val="26"/>
                <w:szCs w:val="26"/>
              </w:rPr>
              <w:t xml:space="preserve">UBND </w:t>
            </w:r>
            <w:r>
              <w:rPr>
                <w:rFonts w:ascii="Times New Roman" w:hAnsi="Times New Roman" w:cs="Times New Roman"/>
                <w:sz w:val="26"/>
                <w:szCs w:val="26"/>
                <w:lang w:val="en-US"/>
              </w:rPr>
              <w:t>TỈNH THANH HÓA</w:t>
            </w:r>
            <w:r>
              <w:rPr>
                <w:rFonts w:ascii="Times New Roman" w:hAnsi="Times New Roman" w:cs="Times New Roman"/>
                <w:sz w:val="26"/>
                <w:szCs w:val="26"/>
              </w:rPr>
              <w:t xml:space="preserve"> </w:t>
            </w:r>
          </w:p>
          <w:p>
            <w:pPr>
              <w:spacing w:line="257" w:lineRule="auto"/>
              <w:jc w:val="center"/>
              <w:rPr>
                <w:rFonts w:ascii="Times New Roman" w:hAnsi="Times New Roman" w:cs="Times New Roman"/>
                <w:b/>
                <w:sz w:val="26"/>
                <w:szCs w:val="26"/>
                <w:u w:val="single"/>
              </w:rPr>
            </w:pPr>
            <w:r>
              <w:rPr>
                <w:rFonts w:ascii="Times New Roman" w:hAnsi="Times New Roman" w:cs="Times New Roman"/>
                <w:b/>
                <w:noProof/>
                <w:sz w:val="26"/>
                <w:szCs w:val="26"/>
                <w:lang w:val="en-US"/>
              </w:rPr>
              <mc:AlternateContent>
                <mc:Choice Requires="wps">
                  <w:drawing>
                    <wp:anchor distT="0" distB="0" distL="114300" distR="114300" simplePos="0" relativeHeight="251661312" behindDoc="0" locked="0" layoutInCell="1" allowOverlap="1">
                      <wp:simplePos x="0" y="0"/>
                      <wp:positionH relativeFrom="column">
                        <wp:posOffset>1115694</wp:posOffset>
                      </wp:positionH>
                      <wp:positionV relativeFrom="paragraph">
                        <wp:posOffset>206375</wp:posOffset>
                      </wp:positionV>
                      <wp:extent cx="1209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153DA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85pt,16.25pt" to="183.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" strokecolor="black [3200]" strokeweight=".5pt">
                      <v:stroke joinstyle="miter"/>
                    </v:line>
                  </w:pict>
                </mc:Fallback>
              </mc:AlternateContent>
            </w:r>
            <w:r>
              <w:rPr>
                <w:rFonts w:ascii="Times New Roman" w:hAnsi="Times New Roman" w:cs="Times New Roman"/>
                <w:b/>
                <w:sz w:val="26"/>
                <w:szCs w:val="26"/>
              </w:rPr>
              <w:t>SỞ NÔNG NGHIỆP VÀ MÔI TRƯỜNG</w:t>
            </w:r>
          </w:p>
        </w:tc>
        <w:tc>
          <w:tcPr>
            <w:tcW w:w="5670" w:type="dxa"/>
          </w:tcPr>
          <w:p>
            <w:pPr>
              <w:spacing w:line="257" w:lineRule="auto"/>
              <w:ind w:firstLine="25"/>
              <w:jc w:val="center"/>
              <w:rPr>
                <w:rFonts w:ascii="Times New Roman" w:hAnsi="Times New Roman" w:cs="Times New Roman"/>
                <w:b/>
                <w:spacing w:val="-6"/>
                <w:sz w:val="26"/>
                <w:szCs w:val="26"/>
              </w:rPr>
            </w:pPr>
            <w:r>
              <w:rPr>
                <w:rFonts w:ascii="Times New Roman" w:hAnsi="Times New Roman" w:cs="Times New Roman"/>
                <w:b/>
                <w:spacing w:val="-6"/>
                <w:sz w:val="26"/>
                <w:szCs w:val="26"/>
              </w:rPr>
              <w:t>CỘNG HOÀ XÃ HỘI CHỦ NGHĨA VIỆT NAM</w:t>
            </w:r>
          </w:p>
          <w:p>
            <w:pPr>
              <w:spacing w:line="257" w:lineRule="auto"/>
              <w:jc w:val="center"/>
              <w:rPr>
                <w:rFonts w:ascii="Times New Roman" w:hAnsi="Times New Roman" w:cs="Times New Roman"/>
                <w:b/>
                <w:sz w:val="28"/>
                <w:szCs w:val="28"/>
              </w:rPr>
            </w:pPr>
            <w:r>
              <w:rPr>
                <w:rFonts w:ascii="Times New Roman" w:hAnsi="Times New Roman" w:cs="Times New Roman"/>
                <w:b/>
                <w:noProof/>
                <w:spacing w:val="-6"/>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757555</wp:posOffset>
                      </wp:positionH>
                      <wp:positionV relativeFrom="paragraph">
                        <wp:posOffset>206375</wp:posOffset>
                      </wp:positionV>
                      <wp:extent cx="18764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659D28"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65pt,16.25pt" to="207.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7JtQEAALcDAAAOAAAAZHJzL2Uyb0RvYy54bWysU8GO0zAQvSPxD5bvNGnFLqu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" strokecolor="black [3200]" strokeweight=".5pt">
                      <v:stroke joinstyle="miter"/>
                    </v:line>
                  </w:pict>
                </mc:Fallback>
              </mc:AlternateContent>
            </w:r>
            <w:r>
              <w:rPr>
                <w:rFonts w:ascii="Times New Roman" w:hAnsi="Times New Roman" w:cs="Times New Roman"/>
                <w:b/>
                <w:spacing w:val="-6"/>
                <w:sz w:val="28"/>
                <w:szCs w:val="28"/>
              </w:rPr>
              <w:t>Độc lập - Tự do - Hạnh phúc</w:t>
            </w:r>
            <w:r>
              <w:rPr>
                <w:rFonts w:ascii="Times New Roman" w:hAnsi="Times New Roman" w:cs="Times New Roman"/>
                <w:b/>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83820</wp:posOffset>
                      </wp:positionV>
                      <wp:extent cx="0"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6635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6.6pt" to="1.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"/>
                  </w:pict>
                </mc:Fallback>
              </mc:AlternateContent>
            </w:r>
          </w:p>
        </w:tc>
      </w:tr>
      <w:tr>
        <w:trPr>
          <w:trHeight w:val="577"/>
          <w:jc w:val="center"/>
        </w:trPr>
        <w:tc>
          <w:tcPr>
            <w:tcW w:w="5529" w:type="dxa"/>
          </w:tcPr>
          <w:p>
            <w:pPr>
              <w:spacing w:before="240" w:line="257" w:lineRule="auto"/>
              <w:jc w:val="center"/>
              <w:rPr>
                <w:rFonts w:ascii="Times New Roman" w:hAnsi="Times New Roman" w:cs="Times New Roman"/>
                <w:sz w:val="28"/>
                <w:szCs w:val="28"/>
                <w:lang w:val="en-US"/>
              </w:rPr>
            </w:pPr>
          </w:p>
        </w:tc>
        <w:tc>
          <w:tcPr>
            <w:tcW w:w="5670" w:type="dxa"/>
          </w:tcPr>
          <w:p>
            <w:pPr>
              <w:spacing w:before="240" w:line="257" w:lineRule="auto"/>
              <w:ind w:firstLine="25"/>
              <w:jc w:val="center"/>
              <w:rPr>
                <w:rFonts w:ascii="Times New Roman" w:hAnsi="Times New Roman" w:cs="Times New Roman"/>
                <w:b/>
                <w:sz w:val="28"/>
                <w:szCs w:val="28"/>
              </w:rPr>
            </w:pPr>
            <w:r>
              <w:rPr>
                <w:rFonts w:ascii="Times New Roman" w:hAnsi="Times New Roman" w:cs="Times New Roman"/>
                <w:i/>
                <w:sz w:val="28"/>
                <w:szCs w:val="28"/>
                <w:lang w:val="en-US"/>
              </w:rPr>
              <w:t xml:space="preserve">          Thanh Hóa</w:t>
            </w:r>
            <w:r>
              <w:rPr>
                <w:rFonts w:ascii="Times New Roman" w:hAnsi="Times New Roman" w:cs="Times New Roman"/>
                <w:i/>
                <w:sz w:val="28"/>
                <w:szCs w:val="28"/>
              </w:rPr>
              <w:t>, ngày       tháng      năm 2026</w:t>
            </w:r>
          </w:p>
        </w:tc>
      </w:tr>
    </w:tbl>
    <w:p>
      <w:pPr>
        <w:autoSpaceDE w:val="0"/>
        <w:autoSpaceDN w:val="0"/>
        <w:adjustRightInd w:val="0"/>
        <w:spacing w:before="120"/>
        <w:jc w:val="center"/>
        <w:rPr>
          <w:b/>
          <w:bCs/>
          <w:lang w:val="en"/>
        </w:rPr>
      </w:pPr>
    </w:p>
    <w:p>
      <w:pPr>
        <w:autoSpaceDE w:val="0"/>
        <w:autoSpaceDN w:val="0"/>
        <w:adjustRightInd w:val="0"/>
        <w:jc w:val="center"/>
        <w:rPr>
          <w:rFonts w:ascii="Times New Roman" w:hAnsi="Times New Roman" w:cs="Times New Roman"/>
          <w:b/>
          <w:bCs/>
          <w:sz w:val="27"/>
          <w:szCs w:val="27"/>
          <w:lang w:val="en-US"/>
        </w:rPr>
      </w:pPr>
      <w:r>
        <w:rPr>
          <w:rFonts w:ascii="Times New Roman" w:hAnsi="Times New Roman" w:cs="Times New Roman"/>
          <w:b/>
          <w:bCs/>
          <w:sz w:val="27"/>
          <w:szCs w:val="27"/>
          <w:lang w:val="en"/>
        </w:rPr>
        <w:t>B</w:t>
      </w:r>
      <w:r>
        <w:rPr>
          <w:rFonts w:ascii="Times New Roman" w:hAnsi="Times New Roman" w:cs="Times New Roman"/>
          <w:b/>
          <w:bCs/>
          <w:sz w:val="27"/>
          <w:szCs w:val="27"/>
        </w:rPr>
        <w:t>ẢN SO S</w:t>
      </w:r>
      <w:r>
        <w:rPr>
          <w:rFonts w:ascii="Times New Roman" w:hAnsi="Times New Roman" w:cs="Times New Roman"/>
          <w:b/>
          <w:bCs/>
          <w:sz w:val="27"/>
          <w:szCs w:val="27"/>
          <w:lang w:val="en-US"/>
        </w:rPr>
        <w:t>ÁNH, THUY</w:t>
      </w:r>
      <w:r>
        <w:rPr>
          <w:rFonts w:ascii="Times New Roman" w:hAnsi="Times New Roman" w:cs="Times New Roman"/>
          <w:b/>
          <w:bCs/>
          <w:sz w:val="27"/>
          <w:szCs w:val="27"/>
        </w:rPr>
        <w:t xml:space="preserve">ẾT MINH DỰ THẢO </w:t>
      </w:r>
      <w:r>
        <w:rPr>
          <w:rFonts w:ascii="Times New Roman" w:hAnsi="Times New Roman" w:cs="Times New Roman"/>
          <w:b/>
          <w:bCs/>
          <w:sz w:val="27"/>
          <w:szCs w:val="27"/>
          <w:lang w:val="en-US"/>
        </w:rPr>
        <w:t xml:space="preserve">NGHỊ QUYẾT </w:t>
      </w:r>
    </w:p>
    <w:p>
      <w:pPr>
        <w:jc w:val="center"/>
        <w:rPr>
          <w:rFonts w:ascii="Times New Roman" w:hAnsi="Times New Roman" w:cs="Times New Roman"/>
          <w:b/>
          <w:sz w:val="28"/>
          <w:szCs w:val="28"/>
        </w:rPr>
      </w:pPr>
      <w:bookmarkStart w:id="0" w:name="loai_1_name"/>
      <w:r>
        <w:rPr>
          <w:rFonts w:ascii="Times New Roman" w:hAnsi="Times New Roman" w:cs="Times New Roman"/>
          <w:b/>
          <w:sz w:val="28"/>
          <w:szCs w:val="28"/>
        </w:rPr>
        <w:t xml:space="preserve">Quy định mức tối đa, mức tối thiểu của hệ số điều chỉnh mức biến động thị trường </w:t>
      </w:r>
    </w:p>
    <w:p>
      <w:pPr>
        <w:jc w:val="center"/>
        <w:rPr>
          <w:rFonts w:ascii="Times New Roman" w:hAnsi="Times New Roman" w:cs="Times New Roman"/>
          <w:b/>
          <w:sz w:val="28"/>
          <w:szCs w:val="28"/>
          <w:lang w:val="en-US"/>
        </w:rPr>
      </w:pPr>
      <w:r>
        <w:rPr>
          <w:rFonts w:ascii="Times New Roman" w:hAnsi="Times New Roman" w:cs="Times New Roman"/>
          <w:b/>
          <w:sz w:val="28"/>
          <w:szCs w:val="28"/>
        </w:rPr>
        <w:t xml:space="preserve">trên địa bàn tỉnh </w:t>
      </w:r>
      <w:r>
        <w:rPr>
          <w:rFonts w:ascii="Times New Roman" w:hAnsi="Times New Roman" w:cs="Times New Roman"/>
          <w:b/>
          <w:sz w:val="28"/>
          <w:szCs w:val="28"/>
          <w:lang w:val="en-US"/>
        </w:rPr>
        <w:t>Thanh Hóa</w:t>
      </w:r>
    </w:p>
    <w:p>
      <w:pPr>
        <w:jc w:val="center"/>
        <w:rPr>
          <w:rFonts w:ascii="Times New Roman" w:hAnsi="Times New Roman" w:cs="Times New Roman"/>
          <w:i/>
          <w:sz w:val="28"/>
          <w:szCs w:val="28"/>
          <w:lang w:val="en-US"/>
        </w:rPr>
      </w:pPr>
      <w:r>
        <w:rPr>
          <w:rFonts w:ascii="Times New Roman" w:hAnsi="Times New Roman" w:cs="Times New Roman"/>
          <w:i/>
          <w:sz w:val="28"/>
          <w:szCs w:val="28"/>
          <w:lang w:val="en-US"/>
        </w:rPr>
        <w:t>(Kèm theo Tờ trình số:           /TTr-SNNMT  ngày …../6/2026 của Sở Nông nghiệp và Môi trường)</w:t>
      </w:r>
    </w:p>
    <w:bookmarkEnd w:id="0"/>
    <w:p>
      <w:pPr>
        <w:autoSpaceDE w:val="0"/>
        <w:autoSpaceDN w:val="0"/>
        <w:adjustRightInd w:val="0"/>
        <w:spacing w:before="120"/>
        <w:rPr>
          <w:b/>
          <w:bCs/>
        </w:rPr>
      </w:pPr>
    </w:p>
    <w:tbl>
      <w:tblPr>
        <w:tblW w:w="5534"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89"/>
        <w:gridCol w:w="5811"/>
        <w:gridCol w:w="6383"/>
      </w:tblGrid>
      <w:tr>
        <w:trPr>
          <w:tblHeader/>
        </w:trPr>
        <w:tc>
          <w:tcPr>
            <w:tcW w:w="761" w:type="pct"/>
            <w:shd w:val="clear" w:color="auto" w:fill="FFFFFF"/>
            <w:vAlign w:val="center"/>
          </w:tcPr>
          <w:p>
            <w:pPr>
              <w:autoSpaceDE w:val="0"/>
              <w:autoSpaceDN w:val="0"/>
              <w:adjustRightInd w:val="0"/>
              <w:spacing w:before="120"/>
              <w:jc w:val="center"/>
              <w:rPr>
                <w:rFonts w:ascii="Times New Roman" w:hAnsi="Times New Roman" w:cs="Times New Roman"/>
                <w:sz w:val="24"/>
                <w:szCs w:val="24"/>
              </w:rPr>
            </w:pPr>
            <w:r>
              <w:rPr>
                <w:rFonts w:ascii="Times New Roman" w:hAnsi="Times New Roman" w:cs="Times New Roman"/>
                <w:b/>
                <w:bCs/>
                <w:sz w:val="24"/>
                <w:szCs w:val="24"/>
              </w:rPr>
              <w:t>QUY PHẠM PHÁP LUẬT HIỆN HÀNH</w:t>
            </w:r>
          </w:p>
        </w:tc>
        <w:tc>
          <w:tcPr>
            <w:tcW w:w="2020" w:type="pct"/>
            <w:shd w:val="clear" w:color="auto" w:fill="FFFFFF"/>
            <w:vAlign w:val="center"/>
          </w:tcPr>
          <w:p>
            <w:pPr>
              <w:autoSpaceDE w:val="0"/>
              <w:autoSpaceDN w:val="0"/>
              <w:adjustRightInd w:val="0"/>
              <w:spacing w:before="120"/>
              <w:jc w:val="center"/>
              <w:rPr>
                <w:rFonts w:ascii="Times New Roman" w:hAnsi="Times New Roman" w:cs="Times New Roman"/>
                <w:sz w:val="24"/>
                <w:szCs w:val="24"/>
                <w:lang w:val="en"/>
              </w:rPr>
            </w:pPr>
            <w:r>
              <w:rPr>
                <w:rFonts w:ascii="Times New Roman" w:hAnsi="Times New Roman" w:cs="Times New Roman"/>
                <w:b/>
                <w:bCs/>
                <w:sz w:val="24"/>
                <w:szCs w:val="24"/>
                <w:lang w:val="en"/>
              </w:rPr>
              <w:t>D</w:t>
            </w:r>
            <w:r>
              <w:rPr>
                <w:rFonts w:ascii="Times New Roman" w:hAnsi="Times New Roman" w:cs="Times New Roman"/>
                <w:b/>
                <w:bCs/>
                <w:sz w:val="24"/>
                <w:szCs w:val="24"/>
              </w:rPr>
              <w:t>Ự THẢO VĂN BẢN</w:t>
            </w:r>
          </w:p>
        </w:tc>
        <w:tc>
          <w:tcPr>
            <w:tcW w:w="2219" w:type="pct"/>
            <w:shd w:val="clear" w:color="auto" w:fill="FFFFFF"/>
            <w:vAlign w:val="center"/>
          </w:tcPr>
          <w:p>
            <w:pPr>
              <w:autoSpaceDE w:val="0"/>
              <w:autoSpaceDN w:val="0"/>
              <w:adjustRightInd w:val="0"/>
              <w:spacing w:before="120"/>
              <w:jc w:val="center"/>
              <w:rPr>
                <w:rFonts w:ascii="Times New Roman" w:hAnsi="Times New Roman" w:cs="Times New Roman"/>
                <w:sz w:val="24"/>
                <w:szCs w:val="24"/>
                <w:lang w:val="en"/>
              </w:rPr>
            </w:pPr>
            <w:r>
              <w:rPr>
                <w:rFonts w:ascii="Times New Roman" w:hAnsi="Times New Roman" w:cs="Times New Roman"/>
                <w:b/>
                <w:bCs/>
                <w:sz w:val="24"/>
                <w:szCs w:val="24"/>
                <w:lang w:val="en"/>
              </w:rPr>
              <w:t>THUY</w:t>
            </w:r>
            <w:r>
              <w:rPr>
                <w:rFonts w:ascii="Times New Roman" w:hAnsi="Times New Roman" w:cs="Times New Roman"/>
                <w:b/>
                <w:bCs/>
                <w:sz w:val="24"/>
                <w:szCs w:val="24"/>
              </w:rPr>
              <w:t>ẾT MINH</w:t>
            </w:r>
          </w:p>
        </w:tc>
      </w:tr>
      <w:tr>
        <w:tc>
          <w:tcPr>
            <w:tcW w:w="761" w:type="pct"/>
            <w:shd w:val="clear" w:color="auto" w:fill="FFFFFF"/>
          </w:tcPr>
          <w:p>
            <w:pPr>
              <w:shd w:val="clear" w:color="auto" w:fill="FFFFFF"/>
              <w:spacing w:before="120" w:line="252" w:lineRule="auto"/>
              <w:ind w:right="142"/>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 xml:space="preserve">Căn cứ điểm a khoản 2 Điều 6 Nghị định số 49/2026/NĐ-CP ngày 31/01/2026 của Chính phủ quy định: </w:t>
            </w:r>
          </w:p>
          <w:p>
            <w:pPr>
              <w:shd w:val="clear" w:color="auto" w:fill="FFFFFF"/>
              <w:spacing w:before="120" w:line="252" w:lineRule="auto"/>
              <w:ind w:right="142"/>
              <w:jc w:val="both"/>
              <w:rPr>
                <w:rFonts w:ascii="Times New Roman" w:hAnsi="Times New Roman" w:cs="Times New Roman"/>
                <w:i/>
                <w:color w:val="000000"/>
                <w:sz w:val="24"/>
                <w:szCs w:val="24"/>
                <w:lang w:val="pt-BR"/>
              </w:rPr>
            </w:pPr>
            <w:r>
              <w:rPr>
                <w:rFonts w:ascii="Times New Roman" w:hAnsi="Times New Roman" w:cs="Times New Roman"/>
                <w:color w:val="000000"/>
                <w:sz w:val="24"/>
                <w:szCs w:val="24"/>
                <w:lang w:val="pt-BR"/>
              </w:rPr>
              <w:t>"</w:t>
            </w:r>
            <w:r>
              <w:rPr>
                <w:rFonts w:ascii="Times New Roman" w:hAnsi="Times New Roman" w:cs="Times New Roman"/>
                <w:i/>
                <w:color w:val="000000"/>
                <w:sz w:val="24"/>
                <w:szCs w:val="24"/>
                <w:lang w:val="pt-BR"/>
              </w:rPr>
              <w:t xml:space="preserve">2. Các trường hợp sửa đổi bảng giá đất, bao gồm: </w:t>
            </w:r>
          </w:p>
          <w:p>
            <w:pPr>
              <w:autoSpaceDE w:val="0"/>
              <w:autoSpaceDN w:val="0"/>
              <w:adjustRightInd w:val="0"/>
              <w:spacing w:before="120"/>
              <w:ind w:left="66" w:hanging="66"/>
              <w:rPr>
                <w:rFonts w:ascii="Times New Roman" w:hAnsi="Times New Roman" w:cs="Times New Roman"/>
                <w:sz w:val="24"/>
                <w:szCs w:val="24"/>
                <w:lang w:val="en"/>
              </w:rPr>
            </w:pPr>
            <w:r>
              <w:rPr>
                <w:rFonts w:ascii="Times New Roman" w:hAnsi="Times New Roman" w:cs="Times New Roman"/>
                <w:i/>
                <w:color w:val="000000"/>
                <w:sz w:val="24"/>
                <w:szCs w:val="24"/>
                <w:lang w:val="pt-BR"/>
              </w:rPr>
              <w:tab/>
              <w:t xml:space="preserve">a) Khi sửa đổi hệ số điều chỉnh mức biến động thị trường kèm theo Nghị định mà hệ số này cao hơn mức tối đa hoặc thấp hơn mức tối thiểu. Mức tối đa, mức tối thiểu của hệ số điều chỉnh mức biến động thị trường do Hội đồng </w:t>
            </w:r>
            <w:r>
              <w:rPr>
                <w:rFonts w:ascii="Times New Roman" w:hAnsi="Times New Roman" w:cs="Times New Roman"/>
                <w:i/>
                <w:color w:val="000000"/>
                <w:sz w:val="24"/>
                <w:szCs w:val="24"/>
                <w:lang w:val="pt-BR"/>
              </w:rPr>
              <w:lastRenderedPageBreak/>
              <w:t>nhân dân cấp tỉnh quyết định..."</w:t>
            </w:r>
          </w:p>
        </w:tc>
        <w:tc>
          <w:tcPr>
            <w:tcW w:w="2020" w:type="pct"/>
            <w:shd w:val="clear" w:color="auto" w:fill="FFFFFF"/>
            <w:vAlign w:val="bottom"/>
          </w:tcPr>
          <w:p>
            <w:pPr>
              <w:shd w:val="solid" w:color="FFFFFF" w:fill="auto"/>
              <w:spacing w:before="120"/>
              <w:jc w:val="both"/>
              <w:rPr>
                <w:rFonts w:ascii="Times New Roman" w:hAnsi="Times New Roman" w:cs="Times New Roman"/>
                <w:b/>
                <w:bCs/>
                <w:sz w:val="24"/>
                <w:szCs w:val="24"/>
              </w:rPr>
            </w:pPr>
            <w:bookmarkStart w:id="1" w:name="dieu_1"/>
            <w:r>
              <w:rPr>
                <w:rFonts w:ascii="Times New Roman" w:hAnsi="Times New Roman" w:cs="Times New Roman"/>
                <w:b/>
                <w:bCs/>
                <w:sz w:val="24"/>
                <w:szCs w:val="24"/>
              </w:rPr>
              <w:lastRenderedPageBreak/>
              <w:t>Điều 1.</w:t>
            </w:r>
            <w:bookmarkEnd w:id="1"/>
            <w:r>
              <w:rPr>
                <w:rFonts w:ascii="Times New Roman" w:hAnsi="Times New Roman" w:cs="Times New Roman"/>
                <w:b/>
                <w:bCs/>
                <w:sz w:val="24"/>
                <w:szCs w:val="24"/>
              </w:rPr>
              <w:t xml:space="preserve"> </w:t>
            </w:r>
            <w:bookmarkStart w:id="2" w:name="dieu_1_name"/>
            <w:r>
              <w:rPr>
                <w:rFonts w:ascii="Times New Roman" w:hAnsi="Times New Roman" w:cs="Times New Roman"/>
                <w:b/>
                <w:bCs/>
                <w:sz w:val="24"/>
                <w:szCs w:val="24"/>
              </w:rPr>
              <w:t>Phạm vi điều chỉnh và đối tượng áp dụng</w:t>
            </w:r>
          </w:p>
          <w:bookmarkEnd w:id="2"/>
          <w:p>
            <w:pPr>
              <w:spacing w:before="60" w:after="60" w:line="376" w:lineRule="exact"/>
              <w:jc w:val="both"/>
              <w:rPr>
                <w:rFonts w:ascii="Times New Roman" w:hAnsi="Times New Roman" w:cs="Times New Roman"/>
                <w:sz w:val="24"/>
                <w:szCs w:val="24"/>
              </w:rPr>
            </w:pPr>
            <w:r>
              <w:rPr>
                <w:rFonts w:ascii="Times New Roman" w:hAnsi="Times New Roman" w:cs="Times New Roman"/>
                <w:sz w:val="24"/>
                <w:szCs w:val="24"/>
              </w:rPr>
              <w:t>1. Phạm vi điều chỉnh</w:t>
            </w:r>
          </w:p>
          <w:p>
            <w:pPr>
              <w:spacing w:before="60" w:after="60" w:line="376" w:lineRule="exact"/>
              <w:jc w:val="both"/>
              <w:rPr>
                <w:rFonts w:ascii="Times New Roman" w:hAnsi="Times New Roman" w:cs="Times New Roman"/>
                <w:sz w:val="24"/>
                <w:szCs w:val="24"/>
              </w:rPr>
            </w:pPr>
            <w:r>
              <w:rPr>
                <w:rFonts w:ascii="Times New Roman" w:hAnsi="Times New Roman" w:cs="Times New Roman"/>
                <w:sz w:val="24"/>
                <w:szCs w:val="24"/>
              </w:rPr>
              <w:t>Nghị quyết này quy định mức tối đa, tối thiểu của hệ số điều chỉnh mức biến động thị trường về giá đất trên địa bàn thành phố Huế theo quy định tại điểm a khoản 2 Điều 6 Nghị định số 49/2026/NĐ-CP quy định chi tiết và hướng dẫn một số điều của Nghị quyết số 254/2025/QH15 của Quốc hội quy định một số cơ chế, chính sách tháo gỡ khó khăn, vướng mắc trong tổ chức thi hành Luật Đất đai.</w:t>
            </w:r>
          </w:p>
          <w:p>
            <w:pPr>
              <w:spacing w:before="60" w:after="60" w:line="376" w:lineRule="exact"/>
              <w:jc w:val="both"/>
              <w:rPr>
                <w:rFonts w:ascii="Times New Roman" w:hAnsi="Times New Roman" w:cs="Times New Roman"/>
                <w:sz w:val="24"/>
                <w:szCs w:val="24"/>
              </w:rPr>
            </w:pPr>
            <w:r>
              <w:rPr>
                <w:rFonts w:ascii="Times New Roman" w:hAnsi="Times New Roman" w:cs="Times New Roman"/>
                <w:sz w:val="24"/>
                <w:szCs w:val="24"/>
              </w:rPr>
              <w:t xml:space="preserve">2. Đối tượng áp dụng </w:t>
            </w:r>
          </w:p>
          <w:p>
            <w:pPr>
              <w:spacing w:before="60" w:after="60" w:line="376" w:lineRule="exact"/>
              <w:jc w:val="both"/>
              <w:rPr>
                <w:rFonts w:ascii="Times New Roman" w:hAnsi="Times New Roman" w:cs="Times New Roman"/>
                <w:sz w:val="24"/>
                <w:szCs w:val="24"/>
              </w:rPr>
            </w:pPr>
            <w:r>
              <w:rPr>
                <w:rFonts w:ascii="Times New Roman" w:hAnsi="Times New Roman" w:cs="Times New Roman"/>
                <w:sz w:val="24"/>
                <w:szCs w:val="24"/>
              </w:rPr>
              <w:t xml:space="preserve">a) Cơ quan thực hiện chức năng quản lý nhà nước về đất đai. </w:t>
            </w:r>
          </w:p>
          <w:p>
            <w:pPr>
              <w:spacing w:before="60" w:after="60" w:line="376" w:lineRule="exact"/>
              <w:jc w:val="both"/>
              <w:rPr>
                <w:rFonts w:ascii="Times New Roman" w:hAnsi="Times New Roman" w:cs="Times New Roman"/>
                <w:sz w:val="24"/>
                <w:szCs w:val="24"/>
              </w:rPr>
            </w:pPr>
            <w:r>
              <w:rPr>
                <w:rFonts w:ascii="Times New Roman" w:hAnsi="Times New Roman" w:cs="Times New Roman"/>
                <w:sz w:val="24"/>
                <w:szCs w:val="24"/>
              </w:rPr>
              <w:t xml:space="preserve">b) Tổ chức có chức năng tư vấn xác định giá đất, cá nhân hành nghề tư vấn xác định giá đất. </w:t>
            </w:r>
          </w:p>
          <w:p>
            <w:pPr>
              <w:spacing w:before="60" w:after="60" w:line="376" w:lineRule="exact"/>
              <w:jc w:val="both"/>
              <w:rPr>
                <w:rFonts w:ascii="Times New Roman" w:hAnsi="Times New Roman" w:cs="Times New Roman"/>
                <w:i/>
                <w:spacing w:val="4"/>
                <w:sz w:val="24"/>
                <w:szCs w:val="24"/>
                <w:lang w:val="en-US"/>
              </w:rPr>
            </w:pPr>
            <w:r>
              <w:rPr>
                <w:rFonts w:ascii="Times New Roman" w:hAnsi="Times New Roman" w:cs="Times New Roman"/>
                <w:sz w:val="24"/>
                <w:szCs w:val="24"/>
              </w:rPr>
              <w:t>c) Các cơ quan, đơn vị, tổ chức, cá nhân khác có liên quan.</w:t>
            </w:r>
          </w:p>
          <w:p>
            <w:pPr>
              <w:spacing w:before="120"/>
              <w:ind w:firstLine="400"/>
              <w:jc w:val="both"/>
              <w:rPr>
                <w:rFonts w:ascii="Times New Roman" w:hAnsi="Times New Roman" w:cs="Times New Roman"/>
                <w:sz w:val="24"/>
                <w:szCs w:val="24"/>
              </w:rPr>
            </w:pPr>
          </w:p>
        </w:tc>
        <w:tc>
          <w:tcPr>
            <w:tcW w:w="2219" w:type="pct"/>
            <w:shd w:val="clear" w:color="auto" w:fill="FFFFFF"/>
            <w:vAlign w:val="center"/>
          </w:tcPr>
          <w:p>
            <w:pPr>
              <w:shd w:val="solid" w:color="FFFFFF" w:fill="auto"/>
              <w:spacing w:before="120"/>
              <w:jc w:val="both"/>
              <w:rPr>
                <w:rFonts w:ascii="Times New Roman" w:hAnsi="Times New Roman" w:cs="Times New Roman"/>
                <w:bCs/>
                <w:sz w:val="24"/>
                <w:szCs w:val="24"/>
              </w:rPr>
            </w:pPr>
            <w:r>
              <w:rPr>
                <w:rFonts w:ascii="Times New Roman" w:hAnsi="Times New Roman" w:cs="Times New Roman"/>
                <w:bCs/>
                <w:sz w:val="24"/>
                <w:szCs w:val="24"/>
              </w:rPr>
              <w:t xml:space="preserve">Cơ sở pháp lý để quy định phạm vi điều chỉnh là điểm a khoản 2 Điều 6 Nghị định số </w:t>
            </w:r>
            <w:r>
              <w:rPr>
                <w:bCs/>
              </w:rPr>
              <w:t xml:space="preserve">49/2026/NĐ-CP ngày 31/01/2026 của Chính phủ </w:t>
            </w:r>
            <w:r>
              <w:rPr>
                <w:rFonts w:ascii="Times New Roman" w:hAnsi="Times New Roman" w:cs="Times New Roman"/>
                <w:bCs/>
                <w:sz w:val="24"/>
                <w:szCs w:val="24"/>
              </w:rPr>
              <w:t>quy định chi tiết và hướng dẫn một số điều của Nghị quyết số 254/2025/QH15 của Quốc hội quy định một số cơ chế, chính sách tháo gỡ khó khăn, vướng mắc trong tổ chức thi hành Luật Đất đai:</w:t>
            </w:r>
          </w:p>
          <w:p>
            <w:pPr>
              <w:shd w:val="solid" w:color="FFFFFF" w:fill="auto"/>
              <w:spacing w:before="120"/>
              <w:jc w:val="both"/>
              <w:rPr>
                <w:rFonts w:ascii="Times New Roman" w:hAnsi="Times New Roman" w:cs="Times New Roman"/>
                <w:bCs/>
                <w:sz w:val="24"/>
                <w:szCs w:val="24"/>
              </w:rPr>
            </w:pPr>
            <w:r>
              <w:rPr>
                <w:rFonts w:ascii="Times New Roman" w:hAnsi="Times New Roman" w:cs="Times New Roman"/>
                <w:bCs/>
                <w:sz w:val="24"/>
                <w:szCs w:val="24"/>
              </w:rPr>
              <w:t>“a) Khi sửa đổi hệ số điều chỉnh mức biến động thị trường quy định tại Phụ lục ban hành kèm theo Nghị định này mà hệ số điều chỉnh mức biến động thị trường này cao hơn mức tối đa hoặc thấp hơn mức tối thiểu. Mức tối đa, mức tối thiểu của hệ số điều chỉnh mức biến động thị trường do Hội đồng nhân dân cấp tỉnh quyết định;”</w:t>
            </w:r>
          </w:p>
          <w:p>
            <w:pPr>
              <w:shd w:val="solid" w:color="FFFFFF" w:fill="auto"/>
              <w:spacing w:before="120"/>
              <w:jc w:val="both"/>
              <w:rPr>
                <w:rFonts w:ascii="Times New Roman" w:hAnsi="Times New Roman" w:cs="Times New Roman"/>
                <w:bCs/>
                <w:i/>
                <w:spacing w:val="-2"/>
                <w:sz w:val="24"/>
                <w:szCs w:val="24"/>
                <w:lang w:val="en-US"/>
              </w:rPr>
            </w:pPr>
            <w:r>
              <w:rPr>
                <w:rFonts w:ascii="Times New Roman" w:hAnsi="Times New Roman" w:cs="Times New Roman"/>
                <w:bCs/>
                <w:sz w:val="24"/>
                <w:szCs w:val="24"/>
              </w:rPr>
              <w:t xml:space="preserve">Cơ </w:t>
            </w:r>
            <w:r>
              <w:rPr>
                <w:rFonts w:ascii="Times New Roman" w:hAnsi="Times New Roman" w:cs="Times New Roman"/>
                <w:bCs/>
                <w:sz w:val="24"/>
                <w:szCs w:val="24"/>
              </w:rPr>
              <w:t>sở pháp lý để quy định</w:t>
            </w:r>
            <w:r>
              <w:rPr>
                <w:rFonts w:ascii="Times New Roman" w:hAnsi="Times New Roman" w:cs="Times New Roman"/>
                <w:bCs/>
                <w:sz w:val="24"/>
                <w:szCs w:val="24"/>
              </w:rPr>
              <w:t xml:space="preserve"> đối tượng áp dụng là trình tự, thủ tục về sửa đổi, bổ sung bảng giá đất và trình tự thủ tục về sửa đổi, bổ sung hệ số điều chỉnh giá đất quy định tại Phần III. Giá đất Phụ lục ban hành kèm </w:t>
            </w:r>
            <w:r>
              <w:rPr>
                <w:rFonts w:ascii="Times New Roman" w:hAnsi="Times New Roman" w:cs="Times New Roman"/>
                <w:bCs/>
                <w:sz w:val="24"/>
                <w:szCs w:val="24"/>
              </w:rPr>
              <w:t xml:space="preserve">Nghị định số </w:t>
            </w:r>
            <w:r>
              <w:rPr>
                <w:bCs/>
              </w:rPr>
              <w:t xml:space="preserve">49/2026/NĐ-CP ngày 31/01/2026 của Chính phủ. Theo đó quy định đối tượng của các trình tự, thủ tục nêu trên là </w:t>
            </w:r>
            <w:r>
              <w:rPr>
                <w:rFonts w:ascii="Times New Roman" w:hAnsi="Times New Roman" w:cs="Times New Roman"/>
                <w:bCs/>
                <w:sz w:val="24"/>
                <w:szCs w:val="24"/>
              </w:rPr>
              <w:t>Cơ quan thực hiện chức năng quản lý nhà nước về đất đai</w:t>
            </w:r>
            <w:r>
              <w:rPr>
                <w:rFonts w:ascii="Times New Roman" w:hAnsi="Times New Roman" w:cs="Times New Roman"/>
                <w:bCs/>
                <w:sz w:val="24"/>
                <w:szCs w:val="24"/>
              </w:rPr>
              <w:t xml:space="preserve">, </w:t>
            </w:r>
            <w:r>
              <w:rPr>
                <w:rFonts w:ascii="Times New Roman" w:hAnsi="Times New Roman" w:cs="Times New Roman"/>
                <w:bCs/>
                <w:sz w:val="24"/>
                <w:szCs w:val="24"/>
              </w:rPr>
              <w:t>Tổ chức có chứ</w:t>
            </w:r>
            <w:r>
              <w:rPr>
                <w:rFonts w:ascii="Times New Roman" w:hAnsi="Times New Roman" w:cs="Times New Roman"/>
                <w:bCs/>
                <w:sz w:val="24"/>
                <w:szCs w:val="24"/>
              </w:rPr>
              <w:t>c năng tư vấn xác định giá đất và các cơ quan, đơn vị, tổ chức, cá nhân có liên quan.</w:t>
            </w:r>
          </w:p>
        </w:tc>
      </w:tr>
      <w:tr>
        <w:tc>
          <w:tcPr>
            <w:tcW w:w="761" w:type="pct"/>
            <w:shd w:val="clear" w:color="auto" w:fill="FFFFFF"/>
          </w:tcPr>
          <w:p>
            <w:pPr>
              <w:autoSpaceDE w:val="0"/>
              <w:autoSpaceDN w:val="0"/>
              <w:adjustRightInd w:val="0"/>
              <w:spacing w:before="120"/>
              <w:ind w:left="66" w:hanging="66"/>
              <w:rPr>
                <w:rFonts w:ascii="Times New Roman" w:hAnsi="Times New Roman" w:cs="Times New Roman"/>
                <w:sz w:val="24"/>
                <w:szCs w:val="24"/>
                <w:lang w:val="en"/>
              </w:rPr>
            </w:pPr>
          </w:p>
        </w:tc>
        <w:tc>
          <w:tcPr>
            <w:tcW w:w="2020" w:type="pct"/>
            <w:shd w:val="clear" w:color="auto" w:fill="FFFFFF"/>
            <w:vAlign w:val="bottom"/>
          </w:tcPr>
          <w:p>
            <w:pPr>
              <w:spacing w:before="60" w:after="60" w:line="376" w:lineRule="exact"/>
              <w:jc w:val="both"/>
              <w:rPr>
                <w:rFonts w:ascii="Times New Roman" w:hAnsi="Times New Roman" w:cs="Times New Roman"/>
                <w:sz w:val="24"/>
                <w:szCs w:val="24"/>
                <w:lang w:val="en-US"/>
              </w:rPr>
            </w:pPr>
            <w:r>
              <w:rPr>
                <w:rFonts w:ascii="Times New Roman" w:hAnsi="Times New Roman" w:cs="Times New Roman"/>
                <w:b/>
                <w:iCs/>
                <w:sz w:val="24"/>
                <w:szCs w:val="24"/>
              </w:rPr>
              <w:t xml:space="preserve"> Điều 2. </w:t>
            </w:r>
            <w:r>
              <w:rPr>
                <w:rFonts w:ascii="Times New Roman" w:hAnsi="Times New Roman" w:cs="Times New Roman"/>
                <w:iCs/>
                <w:sz w:val="24"/>
                <w:szCs w:val="24"/>
                <w:lang w:val="en-US"/>
              </w:rPr>
              <w:t>Quyết định m</w:t>
            </w:r>
            <w:r>
              <w:rPr>
                <w:rFonts w:ascii="Times New Roman" w:hAnsi="Times New Roman" w:cs="Times New Roman"/>
                <w:sz w:val="24"/>
                <w:szCs w:val="24"/>
                <w:lang w:val="en-US"/>
              </w:rPr>
              <w:t>ức tối đa, mức tối thiểu của hệ số điều chỉnh mức biến động thị trường trong hệ số điều chính giá đất trên địa bàn tỉnh Thanh Hóa.</w:t>
            </w:r>
          </w:p>
          <w:p>
            <w:pPr>
              <w:spacing w:before="60" w:after="60" w:line="376" w:lineRule="exact"/>
              <w:jc w:val="both"/>
              <w:rPr>
                <w:rFonts w:ascii="Times New Roman" w:hAnsi="Times New Roman" w:cs="Times New Roman"/>
                <w:b/>
                <w:bCs/>
                <w:color w:val="000000"/>
                <w:sz w:val="24"/>
                <w:szCs w:val="24"/>
                <w:lang w:val="en-US"/>
              </w:rPr>
            </w:pPr>
            <w:r>
              <w:rPr>
                <w:rFonts w:ascii="Times New Roman" w:hAnsi="Times New Roman" w:cs="Times New Roman"/>
                <w:color w:val="000000"/>
                <w:sz w:val="24"/>
                <w:szCs w:val="24"/>
              </w:rPr>
              <w:t xml:space="preserve">1. Mức tối đa của hệ số điều chỉnh mức biến động thị trường: </w:t>
            </w:r>
            <w:r>
              <w:rPr>
                <w:rFonts w:ascii="Times New Roman" w:hAnsi="Times New Roman" w:cs="Times New Roman"/>
                <w:b/>
                <w:bCs/>
                <w:color w:val="000000"/>
                <w:sz w:val="24"/>
                <w:szCs w:val="24"/>
              </w:rPr>
              <w:t>K</w:t>
            </w:r>
            <w:r>
              <w:rPr>
                <w:rFonts w:ascii="Times New Roman" w:hAnsi="Times New Roman" w:cs="Times New Roman"/>
                <w:b/>
                <w:bCs/>
                <w:color w:val="000000"/>
                <w:sz w:val="24"/>
                <w:szCs w:val="24"/>
                <w:vertAlign w:val="subscript"/>
                <w:lang w:val="en-US"/>
              </w:rPr>
              <w:t>tđ</w:t>
            </w:r>
            <w:r>
              <w:rPr>
                <w:rFonts w:ascii="Times New Roman" w:hAnsi="Times New Roman" w:cs="Times New Roman"/>
                <w:b/>
                <w:bCs/>
                <w:color w:val="000000"/>
                <w:sz w:val="24"/>
                <w:szCs w:val="24"/>
              </w:rPr>
              <w:t xml:space="preserve"> = 4,5</w:t>
            </w:r>
            <w:r>
              <w:rPr>
                <w:rFonts w:ascii="Times New Roman" w:hAnsi="Times New Roman" w:cs="Times New Roman"/>
                <w:b/>
                <w:bCs/>
                <w:color w:val="000000"/>
                <w:sz w:val="24"/>
                <w:szCs w:val="24"/>
                <w:lang w:val="en-US"/>
              </w:rPr>
              <w:t xml:space="preserve">   </w:t>
            </w:r>
          </w:p>
          <w:p>
            <w:pPr>
              <w:spacing w:before="60" w:after="60" w:line="376" w:lineRule="exact"/>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 Mức tối thiểu của hệ số điều chỉnh mức biến động thị trường: </w:t>
            </w:r>
            <w:r>
              <w:rPr>
                <w:rFonts w:ascii="Times New Roman" w:hAnsi="Times New Roman" w:cs="Times New Roman"/>
                <w:b/>
                <w:bCs/>
                <w:color w:val="000000"/>
                <w:sz w:val="24"/>
                <w:szCs w:val="24"/>
              </w:rPr>
              <w:t>K</w:t>
            </w:r>
            <w:r>
              <w:rPr>
                <w:rFonts w:ascii="Times New Roman" w:hAnsi="Times New Roman" w:cs="Times New Roman"/>
                <w:b/>
                <w:bCs/>
                <w:color w:val="000000"/>
                <w:sz w:val="24"/>
                <w:szCs w:val="24"/>
                <w:vertAlign w:val="subscript"/>
                <w:lang w:val="en-US"/>
              </w:rPr>
              <w:t>tt</w:t>
            </w:r>
            <w:r>
              <w:rPr>
                <w:rFonts w:ascii="Times New Roman" w:hAnsi="Times New Roman" w:cs="Times New Roman"/>
                <w:b/>
                <w:bCs/>
                <w:color w:val="000000"/>
                <w:sz w:val="24"/>
                <w:szCs w:val="24"/>
              </w:rPr>
              <w:t xml:space="preserve"> = 0,8</w:t>
            </w:r>
          </w:p>
          <w:p>
            <w:pPr>
              <w:spacing w:before="60" w:after="60" w:line="376" w:lineRule="exact"/>
              <w:jc w:val="both"/>
              <w:rPr>
                <w:rFonts w:ascii="Times New Roman" w:hAnsi="Times New Roman" w:cs="Times New Roman"/>
                <w:sz w:val="24"/>
                <w:szCs w:val="24"/>
              </w:rPr>
            </w:pPr>
            <w:r>
              <w:rPr>
                <w:rFonts w:ascii="Times New Roman" w:hAnsi="Times New Roman" w:cs="Times New Roman"/>
                <w:color w:val="000000"/>
                <w:sz w:val="24"/>
                <w:szCs w:val="24"/>
              </w:rPr>
              <w:t>Hệ số điều chỉnh mức biến động thị trường quy định tại Điều này áp dụng</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đối với tất cả các loại đất.</w:t>
            </w:r>
          </w:p>
          <w:p>
            <w:pPr>
              <w:shd w:val="solid" w:color="FFFFFF" w:fill="auto"/>
              <w:spacing w:before="120" w:after="120"/>
              <w:ind w:firstLine="400"/>
              <w:jc w:val="both"/>
              <w:rPr>
                <w:rFonts w:ascii="Times New Roman" w:hAnsi="Times New Roman" w:cs="Times New Roman"/>
                <w:b/>
                <w:bCs/>
                <w:sz w:val="24"/>
                <w:szCs w:val="24"/>
              </w:rPr>
            </w:pPr>
          </w:p>
        </w:tc>
        <w:tc>
          <w:tcPr>
            <w:tcW w:w="2219" w:type="pct"/>
            <w:shd w:val="clear" w:color="auto" w:fill="FFFFFF"/>
            <w:vAlign w:val="center"/>
          </w:tcPr>
          <w:p>
            <w:pPr>
              <w:shd w:val="clear" w:color="auto" w:fill="FFFFFF"/>
              <w:spacing w:before="120" w:line="252" w:lineRule="auto"/>
              <w:ind w:right="13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Hiện nay quy định pháp luật đất đai không quy định hướng dẫn, cách thức, trình tự, thủ tục việc xây dựng mức tối đa, mức tối thiểu của hệ số điều chỉnh mức biến động thị trường để trình Hội đồng nhân dân tỉnh quyết định.</w:t>
            </w:r>
          </w:p>
          <w:p>
            <w:pPr>
              <w:pBdr>
                <w:top w:val="dotted" w:sz="4" w:space="0" w:color="FFFFFF"/>
                <w:left w:val="dotted" w:sz="4" w:space="0" w:color="FFFFFF"/>
                <w:bottom w:val="dotted" w:sz="4" w:space="22" w:color="FFFFFF"/>
                <w:right w:val="dotted" w:sz="4" w:space="0" w:color="FFFFFF"/>
              </w:pBd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Qua quá trình xây dựng, điều chỉnh bảng giá đất trong thời gian qua (từ ngày 01/7/2024 đến nay) cho thấy </w:t>
            </w:r>
            <w:r>
              <w:rPr>
                <w:rFonts w:ascii="Times New Roman" w:hAnsi="Times New Roman" w:cs="Times New Roman"/>
                <w:color w:val="000000" w:themeColor="text1"/>
                <w:sz w:val="24"/>
                <w:szCs w:val="24"/>
              </w:rPr>
              <w:t>mức biến động giá đất thị trường chỉ tập trung đối với nhóm đất ở, còn đối với các loại đất khác hầu như không có hoặc rất ít giao dịch chuyển nhượng do vậy không có số liệu thể hiện rõ mức biến động. Thời gian qua, việc xác định giá đất, mức biến động của các loại đất khác được xác định trên cơ sở tương quan với giá đất ở và các phương pháp định giá đất hiện hành.</w:t>
            </w:r>
          </w:p>
          <w:p>
            <w:pPr>
              <w:pBdr>
                <w:top w:val="dotted" w:sz="4" w:space="0" w:color="FFFFFF"/>
                <w:left w:val="dotted" w:sz="4" w:space="0" w:color="FFFFFF"/>
                <w:bottom w:val="dotted" w:sz="4" w:space="22" w:color="FFFFFF"/>
                <w:right w:val="dotted" w:sz="4" w:space="0" w:color="FFFFFF"/>
              </w:pBdr>
              <w:shd w:val="clear" w:color="auto" w:fill="FFFFFF"/>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Hiện nay, Sở Nông nghiệp và Môi trường đang thực hiện nhiệm vụ xây dựng hệ số điều chỉnh giá đất năm 2026 trên địa bàn tỉnh. </w:t>
            </w:r>
            <w:r>
              <w:rPr>
                <w:rFonts w:ascii="Times New Roman" w:hAnsi="Times New Roman" w:cs="Times New Roman"/>
                <w:color w:val="000000" w:themeColor="text1"/>
                <w:sz w:val="24"/>
                <w:szCs w:val="24"/>
              </w:rPr>
              <w:t>Trên cơ sở việc thu thập và phân tích thông tin để xây dựng hệ số điểu chỉnh giá đất gồm: (1) Thông tin về giá đất chuyển nhượng, giá đất trúng đấu giá quyền sử dụng đất; (2) Thông tin giá đất do cấp có thẩm quyền quyết định khi giao đất, cho thuê đất; (3) Thông tin</w:t>
            </w:r>
            <w:r>
              <w:rPr>
                <w:rFonts w:ascii="Times New Roman" w:hAnsi="Times New Roman" w:cs="Times New Roman"/>
                <w:color w:val="000000" w:themeColor="text1"/>
                <w:sz w:val="24"/>
                <w:szCs w:val="24"/>
              </w:rPr>
              <w:t xml:space="preserve"> về các khoản thu nhập, chi phí;</w:t>
            </w:r>
            <w:r>
              <w:rPr>
                <w:rFonts w:ascii="Times New Roman" w:hAnsi="Times New Roman" w:cs="Times New Roman"/>
                <w:color w:val="000000" w:themeColor="text1"/>
                <w:sz w:val="24"/>
                <w:szCs w:val="24"/>
                <w:lang w:val="en-US"/>
              </w:rPr>
              <w:t xml:space="preserve"> đơn vị tư vấn </w:t>
            </w:r>
            <w:r>
              <w:rPr>
                <w:rFonts w:ascii="Times New Roman" w:hAnsi="Times New Roman" w:cs="Times New Roman"/>
                <w:color w:val="000000" w:themeColor="text1"/>
                <w:sz w:val="24"/>
                <w:szCs w:val="24"/>
              </w:rPr>
              <w:t>Gói thầu xây dựng hệ số điều chỉnh giá đất năm 2026 trên địa bàn tỉnh Thanh Hóa</w:t>
            </w:r>
            <w:r>
              <w:rPr>
                <w:rFonts w:ascii="Times New Roman" w:hAnsi="Times New Roman" w:cs="Times New Roman"/>
                <w:color w:val="000000" w:themeColor="text1"/>
                <w:sz w:val="24"/>
                <w:szCs w:val="24"/>
                <w:lang w:val="en-US"/>
              </w:rPr>
              <w:t xml:space="preserve"> là </w:t>
            </w:r>
            <w:r>
              <w:rPr>
                <w:rFonts w:ascii="Times New Roman" w:hAnsi="Times New Roman" w:cs="Times New Roman"/>
                <w:color w:val="000000" w:themeColor="text1"/>
                <w:sz w:val="24"/>
                <w:szCs w:val="24"/>
              </w:rPr>
              <w:t xml:space="preserve">Công ty TNHH Kiểm tán FAC </w:t>
            </w:r>
            <w:r>
              <w:rPr>
                <w:rFonts w:ascii="Times New Roman" w:hAnsi="Times New Roman" w:cs="Times New Roman"/>
                <w:color w:val="000000" w:themeColor="text1"/>
                <w:sz w:val="24"/>
                <w:szCs w:val="24"/>
                <w:lang w:val="en-US"/>
              </w:rPr>
              <w:t xml:space="preserve">đề xuất như sau: </w:t>
            </w:r>
          </w:p>
          <w:p>
            <w:pPr>
              <w:pBdr>
                <w:top w:val="dotted" w:sz="4" w:space="0" w:color="FFFFFF"/>
                <w:left w:val="dotted" w:sz="4" w:space="0" w:color="FFFFFF"/>
                <w:bottom w:val="dotted" w:sz="4" w:space="22" w:color="FFFFFF"/>
                <w:right w:val="dotted" w:sz="4" w:space="0" w:color="FFFFFF"/>
              </w:pBd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Đề xuất mức tăng cao nhất: 4,356</w:t>
            </w:r>
            <w:r>
              <w:rPr>
                <w:rFonts w:ascii="Times New Roman" w:hAnsi="Times New Roman" w:cs="Times New Roman"/>
                <w:color w:val="000000" w:themeColor="text1"/>
                <w:sz w:val="24"/>
                <w:szCs w:val="24"/>
                <w:lang w:val="en-US"/>
              </w:rPr>
              <w:t xml:space="preserve"> lần</w:t>
            </w:r>
            <w:r>
              <w:rPr>
                <w:rFonts w:ascii="Times New Roman" w:hAnsi="Times New Roman" w:cs="Times New Roman"/>
                <w:color w:val="000000" w:themeColor="text1"/>
                <w:sz w:val="24"/>
                <w:szCs w:val="24"/>
              </w:rPr>
              <w:t>, tại tuyến đường “MBQH số 17/MBQH-UBND ngày 25/5/2020 - Đường trục chính”, xã Hoằng Châu (kết</w:t>
            </w:r>
            <w:r>
              <w:rPr>
                <w:rFonts w:ascii="Times New Roman" w:hAnsi="Times New Roman" w:cs="Times New Roman"/>
                <w:color w:val="000000" w:themeColor="text1"/>
                <w:sz w:val="24"/>
                <w:szCs w:val="24"/>
              </w:rPr>
              <w:t xml:space="preserve"> quả thu thập từ nguồn đấu giá);</w:t>
            </w:r>
          </w:p>
          <w:p>
            <w:pPr>
              <w:pBdr>
                <w:top w:val="dotted" w:sz="4" w:space="0" w:color="FFFFFF"/>
                <w:left w:val="dotted" w:sz="4" w:space="0" w:color="FFFFFF"/>
                <w:bottom w:val="dotted" w:sz="4" w:space="22" w:color="FFFFFF"/>
                <w:right w:val="dotted" w:sz="4" w:space="0" w:color="FFFFFF"/>
              </w:pBd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Đề xuất mức giảm thấp nhất: 0,8 lần, tại tuyến: </w:t>
            </w:r>
            <w:r>
              <w:rPr>
                <w:rFonts w:ascii="Times New Roman" w:hAnsi="Times New Roman" w:cs="Times New Roman"/>
                <w:color w:val="000000" w:themeColor="text1"/>
                <w:sz w:val="24"/>
                <w:szCs w:val="24"/>
                <w:lang w:val="en-US"/>
              </w:rPr>
              <w:t>Các đường trong khu dân cư có mặt đường 7,5m</w:t>
            </w:r>
            <w:r>
              <w:rPr>
                <w:rFonts w:ascii="Times New Roman" w:hAnsi="Times New Roman" w:cs="Times New Roman"/>
                <w:color w:val="000000" w:themeColor="text1"/>
                <w:sz w:val="24"/>
                <w:szCs w:val="24"/>
                <w:lang w:val="en-US"/>
              </w:rPr>
              <w:t xml:space="preserve"> thuộc   </w:t>
            </w:r>
            <w:r>
              <w:rPr>
                <w:rFonts w:ascii="Times New Roman" w:hAnsi="Times New Roman" w:cs="Times New Roman"/>
                <w:color w:val="000000" w:themeColor="text1"/>
                <w:sz w:val="24"/>
                <w:szCs w:val="24"/>
                <w:lang w:val="en-US"/>
              </w:rPr>
              <w:t>Mặt bằng khu dân cư phía Đông Bắc cầu vượt đường sắt, xã Quang Trung (MBQH được UBND thị xã Bỉm Sơn phê duyệt tại Quyết định số 522/QĐ-UBND ngày 22/02/2022) thuộc Tổ dân phố 4</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10.000.000đ/m2 x 0,8</w:t>
            </w:r>
            <w:r>
              <w:rPr>
                <w:rFonts w:ascii="Times New Roman" w:hAnsi="Times New Roman" w:cs="Times New Roman"/>
                <w:color w:val="000000" w:themeColor="text1"/>
                <w:sz w:val="24"/>
                <w:szCs w:val="24"/>
                <w:lang w:val="en-US"/>
              </w:rPr>
              <w:t xml:space="preserve"> (điều chỉnh sai sót khi xây dựng Bảng giá đất lần đầu).</w:t>
            </w:r>
          </w:p>
          <w:p>
            <w:pPr>
              <w:pBdr>
                <w:top w:val="dotted" w:sz="4" w:space="0" w:color="FFFFFF"/>
                <w:left w:val="dotted" w:sz="4" w:space="0" w:color="FFFFFF"/>
                <w:bottom w:val="dotted" w:sz="4" w:space="22" w:color="FFFFFF"/>
                <w:right w:val="dotted" w:sz="4" w:space="0" w:color="FFFFFF"/>
              </w:pBd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Trên cơ sở kết quả điều tra, khảo sát thực tế mức biến động giá đất trên địa bàn tỉnh; kế thừa nguyên tắc điều chỉnh bảng giá đất theo quy định pháp luật đất đai trước đây, , tránh trường hợp phải thường xuyên sửa đổi Bảng giá đất khi giá đất thị trường biến động nhỏ, trong thời gian ngắn nhằm bảo đảm tính ổn định, liên tục trong công tác quản lý nhà nước về giá đất, Sở Nông nghiệp và Môi trường đề xuất mức tối thiểu của hệ số điều chỉnh mức biến động thị trường là K</w:t>
            </w:r>
            <w:r>
              <w:rPr>
                <w:rFonts w:ascii="Times New Roman" w:hAnsi="Times New Roman" w:cs="Times New Roman"/>
                <w:color w:val="000000" w:themeColor="text1"/>
                <w:sz w:val="24"/>
                <w:szCs w:val="24"/>
                <w:vertAlign w:val="subscript"/>
                <w:lang w:val="en-US"/>
              </w:rPr>
              <w:t>tt</w:t>
            </w:r>
            <w:r>
              <w:rPr>
                <w:rFonts w:ascii="Times New Roman" w:hAnsi="Times New Roman" w:cs="Times New Roman"/>
                <w:color w:val="000000" w:themeColor="text1"/>
                <w:sz w:val="24"/>
                <w:szCs w:val="24"/>
              </w:rPr>
              <w:t xml:space="preserve"> = 0,8 và mức tối đa </w:t>
            </w:r>
            <w:r>
              <w:rPr>
                <w:rFonts w:ascii="Times New Roman" w:hAnsi="Times New Roman" w:cs="Times New Roman"/>
                <w:color w:val="000000" w:themeColor="text1"/>
                <w:sz w:val="24"/>
                <w:szCs w:val="24"/>
              </w:rPr>
              <w:t>của hệ số điều chỉnh mức biến động thị trường</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là K</w:t>
            </w:r>
            <w:r>
              <w:rPr>
                <w:rFonts w:ascii="Times New Roman" w:hAnsi="Times New Roman" w:cs="Times New Roman"/>
                <w:color w:val="000000" w:themeColor="text1"/>
                <w:sz w:val="24"/>
                <w:szCs w:val="24"/>
                <w:vertAlign w:val="subscript"/>
                <w:lang w:val="en-US"/>
              </w:rPr>
              <w:t>tđ</w:t>
            </w:r>
            <w:r>
              <w:rPr>
                <w:rFonts w:ascii="Times New Roman" w:hAnsi="Times New Roman" w:cs="Times New Roman"/>
                <w:color w:val="000000" w:themeColor="text1"/>
                <w:sz w:val="24"/>
                <w:szCs w:val="24"/>
              </w:rPr>
              <w:t xml:space="preserve"> = 4,5. </w:t>
            </w:r>
          </w:p>
          <w:p>
            <w:pPr>
              <w:pBdr>
                <w:top w:val="dotted" w:sz="4" w:space="0" w:color="FFFFFF"/>
                <w:left w:val="dotted" w:sz="4" w:space="0" w:color="FFFFFF"/>
                <w:bottom w:val="dotted" w:sz="4" w:space="22" w:color="FFFFFF"/>
                <w:right w:val="dotted" w:sz="4" w:space="0" w:color="FFFFFF"/>
              </w:pBd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Việc áp dụng thống nhất đối với các loại đất thuộc Bảng giá đất của tỉnh nhằm bảo đảm tính đồng bộ trong quá trình tổ chức thực hiện, tạo thuận lợi cho việc xác định hệ số điều chỉnh giá đất và triển khai các nhiệm vụ quản lý nhà nước về đất đai, tài chính đất đai trên địa bàn tỉnh. Vì vậy, việc quy định thống nhất mức tối đa, mức tối thiểu của hệ số điều chỉnh mức biến động thị trường đối với các loại đất là phù hợp với thực tiễn quản lý, bảo đảm tính khả thi, thống nhất trong tổ chức thực hiện và phù hợp với điều kiện dữ liệu khảo sát hiện có trên địa bàn tỉnh.</w:t>
            </w:r>
          </w:p>
          <w:p>
            <w:pPr>
              <w:pBdr>
                <w:top w:val="dotted" w:sz="4" w:space="0" w:color="FFFFFF"/>
                <w:left w:val="dotted" w:sz="4" w:space="0" w:color="FFFFFF"/>
                <w:bottom w:val="dotted" w:sz="4" w:space="22" w:color="FFFFFF"/>
                <w:right w:val="dotted" w:sz="4" w:space="0" w:color="FFFFFF"/>
              </w:pBd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Việc sửa đổi bảng giá đất được thực hiện khi hệ số điều chỉnh mức biến động thị trường cao hơn </w:t>
            </w:r>
            <w:r>
              <w:rPr>
                <w:rFonts w:ascii="Times New Roman" w:hAnsi="Times New Roman" w:cs="Times New Roman"/>
                <w:color w:val="000000" w:themeColor="text1"/>
                <w:sz w:val="24"/>
                <w:szCs w:val="24"/>
                <w:lang w:val="en-US"/>
              </w:rPr>
              <w:t>4,5</w:t>
            </w:r>
            <w:r>
              <w:rPr>
                <w:rFonts w:ascii="Times New Roman" w:hAnsi="Times New Roman" w:cs="Times New Roman"/>
                <w:color w:val="000000" w:themeColor="text1"/>
                <w:sz w:val="24"/>
                <w:szCs w:val="24"/>
              </w:rPr>
              <w:t xml:space="preserve"> lần và thấp hơn 0,8 lần theo quy định tại điểm a khoản 2 Điều 6 Nghị định số 49/2026/NĐ-CP ngày 30/01/2026 của Chính phủ.</w:t>
            </w:r>
          </w:p>
        </w:tc>
      </w:tr>
      <w:tr>
        <w:tc>
          <w:tcPr>
            <w:tcW w:w="761" w:type="pct"/>
            <w:shd w:val="clear" w:color="auto" w:fill="FFFFFF"/>
          </w:tcPr>
          <w:p>
            <w:pPr>
              <w:autoSpaceDE w:val="0"/>
              <w:autoSpaceDN w:val="0"/>
              <w:adjustRightInd w:val="0"/>
              <w:spacing w:before="120"/>
              <w:ind w:left="66" w:hanging="66"/>
              <w:rPr>
                <w:rFonts w:ascii="Times New Roman" w:hAnsi="Times New Roman" w:cs="Times New Roman"/>
                <w:sz w:val="24"/>
                <w:szCs w:val="24"/>
                <w:lang w:val="en"/>
              </w:rPr>
            </w:pPr>
          </w:p>
        </w:tc>
        <w:tc>
          <w:tcPr>
            <w:tcW w:w="2020" w:type="pct"/>
            <w:shd w:val="clear" w:color="auto" w:fill="FFFFFF"/>
            <w:vAlign w:val="bottom"/>
          </w:tcPr>
          <w:p>
            <w:pPr>
              <w:spacing w:before="60" w:after="60" w:line="376" w:lineRule="exact"/>
              <w:jc w:val="both"/>
              <w:rPr>
                <w:rFonts w:ascii="Times New Roman" w:hAnsi="Times New Roman" w:cs="Times New Roman"/>
                <w:b/>
                <w:iCs/>
                <w:sz w:val="24"/>
                <w:szCs w:val="24"/>
              </w:rPr>
            </w:pPr>
            <w:r>
              <w:rPr>
                <w:rFonts w:ascii="Times New Roman" w:hAnsi="Times New Roman" w:cs="Times New Roman"/>
                <w:b/>
                <w:iCs/>
                <w:sz w:val="24"/>
                <w:szCs w:val="24"/>
              </w:rPr>
              <w:t>Điều 3. Tổ chức thực hiện</w:t>
            </w:r>
          </w:p>
          <w:p>
            <w:pPr>
              <w:spacing w:before="60" w:after="60" w:line="376" w:lineRule="exact"/>
              <w:jc w:val="both"/>
              <w:rPr>
                <w:rFonts w:ascii="Times New Roman" w:hAnsi="Times New Roman" w:cs="Times New Roman"/>
                <w:iCs/>
                <w:sz w:val="24"/>
                <w:szCs w:val="24"/>
              </w:rPr>
            </w:pPr>
            <w:r>
              <w:rPr>
                <w:rFonts w:ascii="Times New Roman" w:hAnsi="Times New Roman" w:cs="Times New Roman"/>
                <w:iCs/>
                <w:sz w:val="24"/>
                <w:szCs w:val="24"/>
              </w:rPr>
              <w:t>1. Ủy ban nhân dân tỉnh căn cứ Nghị quyết này và các quy định của pháp luật, tổ chức triển khai thực hiện.</w:t>
            </w:r>
          </w:p>
          <w:p>
            <w:pPr>
              <w:spacing w:before="60" w:after="60" w:line="376" w:lineRule="exact"/>
              <w:jc w:val="both"/>
              <w:rPr>
                <w:rFonts w:ascii="Times New Roman" w:hAnsi="Times New Roman" w:cs="Times New Roman"/>
                <w:b/>
                <w:iCs/>
                <w:sz w:val="24"/>
                <w:szCs w:val="24"/>
              </w:rPr>
            </w:pPr>
            <w:r>
              <w:rPr>
                <w:rFonts w:ascii="Times New Roman" w:hAnsi="Times New Roman" w:cs="Times New Roman"/>
                <w:iCs/>
                <w:sz w:val="24"/>
                <w:szCs w:val="24"/>
              </w:rPr>
              <w:t>2. Thường trực Hội đồng nhân dân tỉnh, các Ban Hội đồng nhân dân, Tổ đại biểu Hội đồng nhân dân và đại biểu Hội đồng nhân dân tỉnh giám sát việc thực hiện Nghị quyết</w:t>
            </w:r>
          </w:p>
        </w:tc>
        <w:tc>
          <w:tcPr>
            <w:tcW w:w="2219" w:type="pct"/>
            <w:shd w:val="clear" w:color="auto" w:fill="FFFFFF"/>
            <w:vAlign w:val="center"/>
          </w:tcPr>
          <w:p>
            <w:pPr>
              <w:ind w:right="214"/>
              <w:jc w:val="both"/>
              <w:rPr>
                <w:rStyle w:val="fontstyle01"/>
                <w:color w:val="auto"/>
                <w:sz w:val="24"/>
                <w:szCs w:val="24"/>
              </w:rPr>
            </w:pPr>
            <w:r>
              <w:rPr>
                <w:rFonts w:ascii="Times New Roman" w:hAnsi="Times New Roman" w:cs="Times New Roman"/>
                <w:sz w:val="24"/>
                <w:szCs w:val="24"/>
              </w:rPr>
              <w:t>Đảm bảo phù hợp với quy định tại Điều 15, Điều 16 Luật Tổ chức chính quyền địa phương số 72/2025/QH15</w:t>
            </w:r>
            <w:r>
              <w:rPr>
                <w:rFonts w:ascii="Times New Roman" w:hAnsi="Times New Roman" w:cs="Times New Roman"/>
                <w:sz w:val="24"/>
                <w:szCs w:val="24"/>
                <w:lang w:val="en-US"/>
              </w:rPr>
              <w:t xml:space="preserve"> và p</w:t>
            </w:r>
            <w:r>
              <w:rPr>
                <w:rStyle w:val="fontstyle01"/>
                <w:color w:val="auto"/>
                <w:sz w:val="24"/>
                <w:szCs w:val="24"/>
              </w:rPr>
              <w:t>hù hợp với chức năng, nhiệm vụ của từng cơ quan, đơn vị có liên quan.</w:t>
            </w:r>
          </w:p>
          <w:p>
            <w:pPr>
              <w:shd w:val="clear" w:color="auto" w:fill="FFFFFF"/>
              <w:spacing w:before="120" w:line="252" w:lineRule="auto"/>
              <w:ind w:right="138"/>
              <w:jc w:val="both"/>
              <w:rPr>
                <w:rFonts w:ascii="Times New Roman" w:hAnsi="Times New Roman" w:cs="Times New Roman"/>
                <w:color w:val="000000" w:themeColor="text1"/>
                <w:sz w:val="24"/>
                <w:szCs w:val="24"/>
              </w:rPr>
            </w:pPr>
            <w:bookmarkStart w:id="3" w:name="_GoBack"/>
            <w:bookmarkEnd w:id="3"/>
          </w:p>
        </w:tc>
      </w:tr>
      <w:tr>
        <w:tc>
          <w:tcPr>
            <w:tcW w:w="761" w:type="pct"/>
            <w:shd w:val="clear" w:color="auto" w:fill="FFFFFF"/>
            <w:vAlign w:val="center"/>
          </w:tcPr>
          <w:p>
            <w:pPr>
              <w:pStyle w:val="Heading1"/>
              <w:rPr>
                <w:sz w:val="24"/>
                <w:szCs w:val="24"/>
              </w:rPr>
            </w:pPr>
          </w:p>
        </w:tc>
        <w:tc>
          <w:tcPr>
            <w:tcW w:w="2020" w:type="pct"/>
            <w:shd w:val="clear" w:color="auto" w:fill="FFFFFF"/>
            <w:vAlign w:val="center"/>
          </w:tcPr>
          <w:p>
            <w:pPr>
              <w:spacing w:before="120" w:after="120"/>
              <w:jc w:val="both"/>
              <w:rPr>
                <w:rFonts w:ascii="Times New Roman" w:hAnsi="Times New Roman" w:cs="Times New Roman"/>
                <w:sz w:val="24"/>
                <w:szCs w:val="24"/>
              </w:rPr>
            </w:pPr>
            <w:r>
              <w:rPr>
                <w:rFonts w:ascii="Times New Roman" w:hAnsi="Times New Roman" w:cs="Times New Roman"/>
                <w:b/>
                <w:bCs/>
                <w:sz w:val="24"/>
                <w:szCs w:val="24"/>
              </w:rPr>
              <w:t xml:space="preserve">Điều 4. Điều khoản thi hành </w:t>
            </w:r>
          </w:p>
          <w:p>
            <w:pPr>
              <w:spacing w:before="120" w:after="120"/>
              <w:jc w:val="both"/>
              <w:rPr>
                <w:rFonts w:ascii="Times New Roman" w:hAnsi="Times New Roman" w:cs="Times New Roman"/>
                <w:sz w:val="24"/>
                <w:szCs w:val="24"/>
              </w:rPr>
            </w:pPr>
            <w:r>
              <w:rPr>
                <w:rFonts w:ascii="Times New Roman" w:hAnsi="Times New Roman" w:cs="Times New Roman"/>
                <w:sz w:val="24"/>
                <w:szCs w:val="24"/>
              </w:rPr>
              <w:t>Nghị quyết này có hiệu lực thi hành từ ngày      tháng    năm 2026.</w:t>
            </w:r>
          </w:p>
        </w:tc>
        <w:tc>
          <w:tcPr>
            <w:tcW w:w="2219" w:type="pct"/>
            <w:shd w:val="clear" w:color="auto" w:fill="FFFFFF"/>
            <w:vAlign w:val="bottom"/>
          </w:tcPr>
          <w:p>
            <w:pPr>
              <w:autoSpaceDE w:val="0"/>
              <w:autoSpaceDN w:val="0"/>
              <w:adjustRightInd w:val="0"/>
              <w:spacing w:before="120"/>
              <w:ind w:right="214"/>
              <w:jc w:val="both"/>
              <w:rPr>
                <w:rFonts w:ascii="Times New Roman" w:hAnsi="Times New Roman" w:cs="Times New Roman"/>
                <w:sz w:val="24"/>
                <w:szCs w:val="24"/>
              </w:rPr>
            </w:pPr>
            <w:r>
              <w:rPr>
                <w:rFonts w:ascii="Times New Roman" w:eastAsia="Courier New" w:hAnsi="Times New Roman" w:cs="Times New Roman"/>
                <w:iCs/>
                <w:sz w:val="24"/>
                <w:szCs w:val="24"/>
                <w:lang w:eastAsia="vi-VN"/>
              </w:rPr>
              <w:t>Phù hợp với</w:t>
            </w:r>
            <w:r>
              <w:rPr>
                <w:rFonts w:ascii="Times New Roman" w:hAnsi="Times New Roman" w:cs="Times New Roman"/>
                <w:sz w:val="24"/>
                <w:szCs w:val="24"/>
              </w:rPr>
              <w:t xml:space="preserve"> quy định tại khoản 1 Điều 53 Luật Ban hành văn bản quy phạm pháp luật số 64/2025/QH15</w:t>
            </w:r>
            <w:r>
              <w:rPr>
                <w:rFonts w:ascii="Times New Roman" w:hAnsi="Times New Roman" w:cs="Times New Roman"/>
                <w:iCs/>
                <w:sz w:val="24"/>
                <w:szCs w:val="24"/>
                <w:lang w:val="en-US"/>
              </w:rPr>
              <w:t>; Đồng bộ, thống nhất với hiệu lực của Nghị định số 49/2026/NĐ-CP.</w:t>
            </w:r>
          </w:p>
        </w:tc>
      </w:tr>
    </w:tbl>
    <w:p/>
    <w:p/>
    <w:sectPr>
      <w:pgSz w:w="15840" w:h="12240"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C3D61"/>
    <w:multiLevelType w:val="hybridMultilevel"/>
    <w:tmpl w:val="9C04BC30"/>
    <w:lvl w:ilvl="0" w:tplc="CEAE95F6">
      <w:start w:val="4"/>
      <w:numFmt w:val="bullet"/>
      <w:lvlText w:val="-"/>
      <w:lvlJc w:val="left"/>
      <w:pPr>
        <w:ind w:left="572" w:hanging="360"/>
      </w:pPr>
      <w:rPr>
        <w:rFonts w:ascii="Times New Roman" w:eastAsia="Times New Roman" w:hAnsi="Times New Roman" w:cs="Times New Roman" w:hint="default"/>
      </w:rPr>
    </w:lvl>
    <w:lvl w:ilvl="1" w:tplc="04090003" w:tentative="1">
      <w:start w:val="1"/>
      <w:numFmt w:val="bullet"/>
      <w:lvlText w:val="o"/>
      <w:lvlJc w:val="left"/>
      <w:pPr>
        <w:ind w:left="1292" w:hanging="360"/>
      </w:pPr>
      <w:rPr>
        <w:rFonts w:ascii="Courier New" w:hAnsi="Courier New" w:cs="Courier New" w:hint="default"/>
      </w:rPr>
    </w:lvl>
    <w:lvl w:ilvl="2" w:tplc="04090005" w:tentative="1">
      <w:start w:val="1"/>
      <w:numFmt w:val="bullet"/>
      <w:lvlText w:val=""/>
      <w:lvlJc w:val="left"/>
      <w:pPr>
        <w:ind w:left="2012" w:hanging="360"/>
      </w:pPr>
      <w:rPr>
        <w:rFonts w:ascii="Wingdings" w:hAnsi="Wingdings" w:hint="default"/>
      </w:rPr>
    </w:lvl>
    <w:lvl w:ilvl="3" w:tplc="04090001" w:tentative="1">
      <w:start w:val="1"/>
      <w:numFmt w:val="bullet"/>
      <w:lvlText w:val=""/>
      <w:lvlJc w:val="left"/>
      <w:pPr>
        <w:ind w:left="2732" w:hanging="360"/>
      </w:pPr>
      <w:rPr>
        <w:rFonts w:ascii="Symbol" w:hAnsi="Symbol" w:hint="default"/>
      </w:rPr>
    </w:lvl>
    <w:lvl w:ilvl="4" w:tplc="04090003" w:tentative="1">
      <w:start w:val="1"/>
      <w:numFmt w:val="bullet"/>
      <w:lvlText w:val="o"/>
      <w:lvlJc w:val="left"/>
      <w:pPr>
        <w:ind w:left="3452" w:hanging="360"/>
      </w:pPr>
      <w:rPr>
        <w:rFonts w:ascii="Courier New" w:hAnsi="Courier New" w:cs="Courier New" w:hint="default"/>
      </w:rPr>
    </w:lvl>
    <w:lvl w:ilvl="5" w:tplc="04090005" w:tentative="1">
      <w:start w:val="1"/>
      <w:numFmt w:val="bullet"/>
      <w:lvlText w:val=""/>
      <w:lvlJc w:val="left"/>
      <w:pPr>
        <w:ind w:left="4172" w:hanging="360"/>
      </w:pPr>
      <w:rPr>
        <w:rFonts w:ascii="Wingdings" w:hAnsi="Wingdings" w:hint="default"/>
      </w:rPr>
    </w:lvl>
    <w:lvl w:ilvl="6" w:tplc="04090001" w:tentative="1">
      <w:start w:val="1"/>
      <w:numFmt w:val="bullet"/>
      <w:lvlText w:val=""/>
      <w:lvlJc w:val="left"/>
      <w:pPr>
        <w:ind w:left="4892" w:hanging="360"/>
      </w:pPr>
      <w:rPr>
        <w:rFonts w:ascii="Symbol" w:hAnsi="Symbol" w:hint="default"/>
      </w:rPr>
    </w:lvl>
    <w:lvl w:ilvl="7" w:tplc="04090003" w:tentative="1">
      <w:start w:val="1"/>
      <w:numFmt w:val="bullet"/>
      <w:lvlText w:val="o"/>
      <w:lvlJc w:val="left"/>
      <w:pPr>
        <w:ind w:left="5612" w:hanging="360"/>
      </w:pPr>
      <w:rPr>
        <w:rFonts w:ascii="Courier New" w:hAnsi="Courier New" w:cs="Courier New" w:hint="default"/>
      </w:rPr>
    </w:lvl>
    <w:lvl w:ilvl="8" w:tplc="04090005" w:tentative="1">
      <w:start w:val="1"/>
      <w:numFmt w:val="bullet"/>
      <w:lvlText w:val=""/>
      <w:lvlJc w:val="left"/>
      <w:pPr>
        <w:ind w:left="6332" w:hanging="360"/>
      </w:pPr>
      <w:rPr>
        <w:rFonts w:ascii="Wingdings" w:hAnsi="Wingdings" w:hint="default"/>
      </w:rPr>
    </w:lvl>
  </w:abstractNum>
  <w:abstractNum w:abstractNumId="1" w15:restartNumberingAfterBreak="0">
    <w:nsid w:val="138878E5"/>
    <w:multiLevelType w:val="hybridMultilevel"/>
    <w:tmpl w:val="160E8D34"/>
    <w:lvl w:ilvl="0" w:tplc="4C42127A">
      <w:start w:val="1"/>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2" w15:restartNumberingAfterBreak="0">
    <w:nsid w:val="1CC869CA"/>
    <w:multiLevelType w:val="hybridMultilevel"/>
    <w:tmpl w:val="A2341A18"/>
    <w:lvl w:ilvl="0" w:tplc="EC6EF9C6">
      <w:start w:val="2"/>
      <w:numFmt w:val="bullet"/>
      <w:lvlText w:val="-"/>
      <w:lvlJc w:val="left"/>
      <w:pPr>
        <w:ind w:left="498" w:hanging="360"/>
      </w:pPr>
      <w:rPr>
        <w:rFonts w:ascii="Times New Roman" w:eastAsia="Times New Roman" w:hAnsi="Times New Roman" w:cs="Times New Roman"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3" w15:restartNumberingAfterBreak="0">
    <w:nsid w:val="1EE142F5"/>
    <w:multiLevelType w:val="hybridMultilevel"/>
    <w:tmpl w:val="15ACE014"/>
    <w:lvl w:ilvl="0" w:tplc="73B6A06E">
      <w:start w:val="1"/>
      <w:numFmt w:val="bullet"/>
      <w:lvlText w:val="-"/>
      <w:lvlJc w:val="left"/>
      <w:pPr>
        <w:ind w:left="498" w:hanging="360"/>
      </w:pPr>
      <w:rPr>
        <w:rFonts w:ascii="Times New Roman" w:eastAsia="Times New Roman" w:hAnsi="Times New Roman" w:cs="Times New Roman"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4" w15:restartNumberingAfterBreak="0">
    <w:nsid w:val="45CD177B"/>
    <w:multiLevelType w:val="hybridMultilevel"/>
    <w:tmpl w:val="85EC58EE"/>
    <w:lvl w:ilvl="0" w:tplc="D5884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972A1-A468-4ED0-A123-5B409C9C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Arial"/>
      <w:sz w:val="20"/>
      <w:szCs w:val="20"/>
      <w:lang w:val="vi-VN"/>
    </w:rPr>
  </w:style>
  <w:style w:type="paragraph" w:styleId="Heading1">
    <w:name w:val="heading 1"/>
    <w:basedOn w:val="Normal"/>
    <w:next w:val="Normal"/>
    <w:link w:val="Heading1Char"/>
    <w:autoRedefine/>
    <w:uiPriority w:val="99"/>
    <w:qFormat/>
    <w:pPr>
      <w:keepNext/>
      <w:spacing w:after="120"/>
      <w:ind w:left="134" w:right="46" w:firstLine="66"/>
      <w:jc w:val="both"/>
      <w:outlineLvl w:val="0"/>
    </w:pPr>
    <w:rPr>
      <w:rFonts w:ascii="Times New Roman" w:hAnsi="Times New Roman" w:cs="Times New Roman"/>
      <w:b/>
      <w:bCs/>
      <w:kern w:val="32"/>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pPr>
      <w:ind w:left="720"/>
      <w:contextualSpacing/>
    </w:pPr>
  </w:style>
  <w:style w:type="paragraph" w:styleId="NormalWeb">
    <w:name w:val="Normal (Web)"/>
    <w:aliases w:val="webb,Char8,Normal (Web) Char Char Char Char Char,Normal (Web) Char1, Char Char, Char8 Char, Char8,Char Char Char,표준 (웹),Char Char1,Char Char5,Char Char Char Char Char Char Char Char Char Char,Обычный (веб)1,Обычный (веб) Знак"/>
    <w:basedOn w:val="Normal"/>
    <w:link w:val="NormalWebChar"/>
    <w:uiPriority w:val="99"/>
    <w:qFormat/>
    <w:pPr>
      <w:spacing w:before="100" w:beforeAutospacing="1" w:after="100" w:afterAutospacing="1"/>
    </w:pPr>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b/>
      <w:bCs/>
      <w:kern w:val="32"/>
      <w:sz w:val="28"/>
      <w:szCs w:val="32"/>
    </w:rPr>
  </w:style>
  <w:style w:type="character" w:customStyle="1" w:styleId="NormalWebChar">
    <w:name w:val="Normal (Web) Char"/>
    <w:aliases w:val="webb Char,Char8 Char,Normal (Web) Char Char Char Char Char Char,Normal (Web) Char1 Char, Char Char Char, Char8 Char Char, Char8 Char1,Char Char Char Char,표준 (웹) Char,Char Char1 Char,Char Char5 Char,Обычный (веб)1 Char"/>
    <w:link w:val="NormalWeb"/>
    <w:uiPriority w:val="99"/>
    <w:qFormat/>
    <w:locke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uiPriority w:val="99"/>
    <w:qFormat/>
    <w:rPr>
      <w:rFonts w:ascii=".VnTime" w:hAnsi=".VnTime" w:cs="Times New Roman"/>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Pr>
      <w:rFonts w:ascii=".VnTime" w:eastAsia="Times New Roman" w:hAnsi=".VnTime" w:cs="Times New Roman"/>
      <w:sz w:val="20"/>
      <w:szCs w:val="20"/>
    </w:rPr>
  </w:style>
  <w:style w:type="character" w:styleId="FootnoteReference">
    <w:name w:val="footnote reference"/>
    <w:aliases w:val="Footnote,Footnote text,SUPERS,Footnote dich,ftref,(NECG) Footnote Reference,16 Point,Superscript 6 Point,Footnote + Arial,10 pt,Black,fr,BVI fnr,footnote ref,Footnote Reference Number,Знак сноски 1,Ref,de nota al pie,R,f,BearingPoint"/>
    <w:link w:val="CharChar1CharCharCharChar1CharCharCharCharCharCharCharChar"/>
    <w:uiPriority w:val="99"/>
    <w:qFormat/>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pPr>
      <w:spacing w:after="160" w:line="240" w:lineRule="exact"/>
    </w:pPr>
    <w:rPr>
      <w:rFonts w:asciiTheme="minorHAnsi" w:eastAsiaTheme="minorHAnsi" w:hAnsiTheme="minorHAnsi" w:cstheme="minorBidi"/>
      <w:sz w:val="22"/>
      <w:szCs w:val="22"/>
      <w:vertAlign w:val="superscript"/>
      <w:lang w:val="en-US"/>
    </w:rPr>
  </w:style>
  <w:style w:type="paragraph" w:customStyle="1" w:styleId="Nomal">
    <w:name w:val="Nomal"/>
    <w:basedOn w:val="Normal"/>
    <w:link w:val="NomalChar"/>
    <w:qFormat/>
    <w:pPr>
      <w:spacing w:before="120" w:after="120" w:line="400" w:lineRule="exact"/>
      <w:ind w:left="391"/>
      <w:jc w:val="both"/>
    </w:pPr>
    <w:rPr>
      <w:rFonts w:ascii="Times New Roman" w:hAnsi="Times New Roman" w:cs="Times New Roman"/>
      <w:b/>
      <w:bCs/>
      <w:kern w:val="32"/>
      <w:sz w:val="26"/>
      <w:szCs w:val="26"/>
      <w:lang w:val="nl-NL"/>
    </w:rPr>
  </w:style>
  <w:style w:type="character" w:customStyle="1" w:styleId="NomalChar">
    <w:name w:val="Nomal Char"/>
    <w:link w:val="Nomal"/>
    <w:qFormat/>
    <w:rPr>
      <w:rFonts w:ascii="Times New Roman" w:eastAsia="Times New Roman" w:hAnsi="Times New Roman" w:cs="Times New Roman"/>
      <w:b/>
      <w:bCs/>
      <w:kern w:val="32"/>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0445">
      <w:bodyDiv w:val="1"/>
      <w:marLeft w:val="0"/>
      <w:marRight w:val="0"/>
      <w:marTop w:val="0"/>
      <w:marBottom w:val="0"/>
      <w:divBdr>
        <w:top w:val="none" w:sz="0" w:space="0" w:color="auto"/>
        <w:left w:val="none" w:sz="0" w:space="0" w:color="auto"/>
        <w:bottom w:val="none" w:sz="0" w:space="0" w:color="auto"/>
        <w:right w:val="none" w:sz="0" w:space="0" w:color="auto"/>
      </w:divBdr>
    </w:div>
    <w:div w:id="255139674">
      <w:bodyDiv w:val="1"/>
      <w:marLeft w:val="0"/>
      <w:marRight w:val="0"/>
      <w:marTop w:val="0"/>
      <w:marBottom w:val="0"/>
      <w:divBdr>
        <w:top w:val="none" w:sz="0" w:space="0" w:color="auto"/>
        <w:left w:val="none" w:sz="0" w:space="0" w:color="auto"/>
        <w:bottom w:val="none" w:sz="0" w:space="0" w:color="auto"/>
        <w:right w:val="none" w:sz="0" w:space="0" w:color="auto"/>
      </w:divBdr>
    </w:div>
    <w:div w:id="289241640">
      <w:bodyDiv w:val="1"/>
      <w:marLeft w:val="0"/>
      <w:marRight w:val="0"/>
      <w:marTop w:val="0"/>
      <w:marBottom w:val="0"/>
      <w:divBdr>
        <w:top w:val="none" w:sz="0" w:space="0" w:color="auto"/>
        <w:left w:val="none" w:sz="0" w:space="0" w:color="auto"/>
        <w:bottom w:val="none" w:sz="0" w:space="0" w:color="auto"/>
        <w:right w:val="none" w:sz="0" w:space="0" w:color="auto"/>
      </w:divBdr>
    </w:div>
    <w:div w:id="470287448">
      <w:bodyDiv w:val="1"/>
      <w:marLeft w:val="0"/>
      <w:marRight w:val="0"/>
      <w:marTop w:val="0"/>
      <w:marBottom w:val="0"/>
      <w:divBdr>
        <w:top w:val="none" w:sz="0" w:space="0" w:color="auto"/>
        <w:left w:val="none" w:sz="0" w:space="0" w:color="auto"/>
        <w:bottom w:val="none" w:sz="0" w:space="0" w:color="auto"/>
        <w:right w:val="none" w:sz="0" w:space="0" w:color="auto"/>
      </w:divBdr>
    </w:div>
    <w:div w:id="491455189">
      <w:bodyDiv w:val="1"/>
      <w:marLeft w:val="0"/>
      <w:marRight w:val="0"/>
      <w:marTop w:val="0"/>
      <w:marBottom w:val="0"/>
      <w:divBdr>
        <w:top w:val="none" w:sz="0" w:space="0" w:color="auto"/>
        <w:left w:val="none" w:sz="0" w:space="0" w:color="auto"/>
        <w:bottom w:val="none" w:sz="0" w:space="0" w:color="auto"/>
        <w:right w:val="none" w:sz="0" w:space="0" w:color="auto"/>
      </w:divBdr>
    </w:div>
    <w:div w:id="607927923">
      <w:bodyDiv w:val="1"/>
      <w:marLeft w:val="0"/>
      <w:marRight w:val="0"/>
      <w:marTop w:val="0"/>
      <w:marBottom w:val="0"/>
      <w:divBdr>
        <w:top w:val="none" w:sz="0" w:space="0" w:color="auto"/>
        <w:left w:val="none" w:sz="0" w:space="0" w:color="auto"/>
        <w:bottom w:val="none" w:sz="0" w:space="0" w:color="auto"/>
        <w:right w:val="none" w:sz="0" w:space="0" w:color="auto"/>
      </w:divBdr>
    </w:div>
    <w:div w:id="726271012">
      <w:bodyDiv w:val="1"/>
      <w:marLeft w:val="0"/>
      <w:marRight w:val="0"/>
      <w:marTop w:val="0"/>
      <w:marBottom w:val="0"/>
      <w:divBdr>
        <w:top w:val="none" w:sz="0" w:space="0" w:color="auto"/>
        <w:left w:val="none" w:sz="0" w:space="0" w:color="auto"/>
        <w:bottom w:val="none" w:sz="0" w:space="0" w:color="auto"/>
        <w:right w:val="none" w:sz="0" w:space="0" w:color="auto"/>
      </w:divBdr>
    </w:div>
    <w:div w:id="896598370">
      <w:bodyDiv w:val="1"/>
      <w:marLeft w:val="0"/>
      <w:marRight w:val="0"/>
      <w:marTop w:val="0"/>
      <w:marBottom w:val="0"/>
      <w:divBdr>
        <w:top w:val="none" w:sz="0" w:space="0" w:color="auto"/>
        <w:left w:val="none" w:sz="0" w:space="0" w:color="auto"/>
        <w:bottom w:val="none" w:sz="0" w:space="0" w:color="auto"/>
        <w:right w:val="none" w:sz="0" w:space="0" w:color="auto"/>
      </w:divBdr>
    </w:div>
    <w:div w:id="950018084">
      <w:bodyDiv w:val="1"/>
      <w:marLeft w:val="0"/>
      <w:marRight w:val="0"/>
      <w:marTop w:val="0"/>
      <w:marBottom w:val="0"/>
      <w:divBdr>
        <w:top w:val="none" w:sz="0" w:space="0" w:color="auto"/>
        <w:left w:val="none" w:sz="0" w:space="0" w:color="auto"/>
        <w:bottom w:val="none" w:sz="0" w:space="0" w:color="auto"/>
        <w:right w:val="none" w:sz="0" w:space="0" w:color="auto"/>
      </w:divBdr>
    </w:div>
    <w:div w:id="1032224543">
      <w:bodyDiv w:val="1"/>
      <w:marLeft w:val="0"/>
      <w:marRight w:val="0"/>
      <w:marTop w:val="0"/>
      <w:marBottom w:val="0"/>
      <w:divBdr>
        <w:top w:val="none" w:sz="0" w:space="0" w:color="auto"/>
        <w:left w:val="none" w:sz="0" w:space="0" w:color="auto"/>
        <w:bottom w:val="none" w:sz="0" w:space="0" w:color="auto"/>
        <w:right w:val="none" w:sz="0" w:space="0" w:color="auto"/>
      </w:divBdr>
    </w:div>
    <w:div w:id="1301577146">
      <w:bodyDiv w:val="1"/>
      <w:marLeft w:val="0"/>
      <w:marRight w:val="0"/>
      <w:marTop w:val="0"/>
      <w:marBottom w:val="0"/>
      <w:divBdr>
        <w:top w:val="none" w:sz="0" w:space="0" w:color="auto"/>
        <w:left w:val="none" w:sz="0" w:space="0" w:color="auto"/>
        <w:bottom w:val="none" w:sz="0" w:space="0" w:color="auto"/>
        <w:right w:val="none" w:sz="0" w:space="0" w:color="auto"/>
      </w:divBdr>
    </w:div>
    <w:div w:id="1449812741">
      <w:bodyDiv w:val="1"/>
      <w:marLeft w:val="0"/>
      <w:marRight w:val="0"/>
      <w:marTop w:val="0"/>
      <w:marBottom w:val="0"/>
      <w:divBdr>
        <w:top w:val="none" w:sz="0" w:space="0" w:color="auto"/>
        <w:left w:val="none" w:sz="0" w:space="0" w:color="auto"/>
        <w:bottom w:val="none" w:sz="0" w:space="0" w:color="auto"/>
        <w:right w:val="none" w:sz="0" w:space="0" w:color="auto"/>
      </w:divBdr>
    </w:div>
    <w:div w:id="1472559783">
      <w:bodyDiv w:val="1"/>
      <w:marLeft w:val="0"/>
      <w:marRight w:val="0"/>
      <w:marTop w:val="0"/>
      <w:marBottom w:val="0"/>
      <w:divBdr>
        <w:top w:val="none" w:sz="0" w:space="0" w:color="auto"/>
        <w:left w:val="none" w:sz="0" w:space="0" w:color="auto"/>
        <w:bottom w:val="none" w:sz="0" w:space="0" w:color="auto"/>
        <w:right w:val="none" w:sz="0" w:space="0" w:color="auto"/>
      </w:divBdr>
    </w:div>
    <w:div w:id="1488935024">
      <w:bodyDiv w:val="1"/>
      <w:marLeft w:val="0"/>
      <w:marRight w:val="0"/>
      <w:marTop w:val="0"/>
      <w:marBottom w:val="0"/>
      <w:divBdr>
        <w:top w:val="none" w:sz="0" w:space="0" w:color="auto"/>
        <w:left w:val="none" w:sz="0" w:space="0" w:color="auto"/>
        <w:bottom w:val="none" w:sz="0" w:space="0" w:color="auto"/>
        <w:right w:val="none" w:sz="0" w:space="0" w:color="auto"/>
      </w:divBdr>
    </w:div>
    <w:div w:id="1500195575">
      <w:bodyDiv w:val="1"/>
      <w:marLeft w:val="0"/>
      <w:marRight w:val="0"/>
      <w:marTop w:val="0"/>
      <w:marBottom w:val="0"/>
      <w:divBdr>
        <w:top w:val="none" w:sz="0" w:space="0" w:color="auto"/>
        <w:left w:val="none" w:sz="0" w:space="0" w:color="auto"/>
        <w:bottom w:val="none" w:sz="0" w:space="0" w:color="auto"/>
        <w:right w:val="none" w:sz="0" w:space="0" w:color="auto"/>
      </w:divBdr>
    </w:div>
    <w:div w:id="1572957364">
      <w:bodyDiv w:val="1"/>
      <w:marLeft w:val="0"/>
      <w:marRight w:val="0"/>
      <w:marTop w:val="0"/>
      <w:marBottom w:val="0"/>
      <w:divBdr>
        <w:top w:val="none" w:sz="0" w:space="0" w:color="auto"/>
        <w:left w:val="none" w:sz="0" w:space="0" w:color="auto"/>
        <w:bottom w:val="none" w:sz="0" w:space="0" w:color="auto"/>
        <w:right w:val="none" w:sz="0" w:space="0" w:color="auto"/>
      </w:divBdr>
    </w:div>
    <w:div w:id="1733503143">
      <w:bodyDiv w:val="1"/>
      <w:marLeft w:val="0"/>
      <w:marRight w:val="0"/>
      <w:marTop w:val="0"/>
      <w:marBottom w:val="0"/>
      <w:divBdr>
        <w:top w:val="none" w:sz="0" w:space="0" w:color="auto"/>
        <w:left w:val="none" w:sz="0" w:space="0" w:color="auto"/>
        <w:bottom w:val="none" w:sz="0" w:space="0" w:color="auto"/>
        <w:right w:val="none" w:sz="0" w:space="0" w:color="auto"/>
      </w:divBdr>
    </w:div>
    <w:div w:id="1782071668">
      <w:bodyDiv w:val="1"/>
      <w:marLeft w:val="0"/>
      <w:marRight w:val="0"/>
      <w:marTop w:val="0"/>
      <w:marBottom w:val="0"/>
      <w:divBdr>
        <w:top w:val="none" w:sz="0" w:space="0" w:color="auto"/>
        <w:left w:val="none" w:sz="0" w:space="0" w:color="auto"/>
        <w:bottom w:val="none" w:sz="0" w:space="0" w:color="auto"/>
        <w:right w:val="none" w:sz="0" w:space="0" w:color="auto"/>
      </w:divBdr>
    </w:div>
    <w:div w:id="1884781313">
      <w:bodyDiv w:val="1"/>
      <w:marLeft w:val="0"/>
      <w:marRight w:val="0"/>
      <w:marTop w:val="0"/>
      <w:marBottom w:val="0"/>
      <w:divBdr>
        <w:top w:val="none" w:sz="0" w:space="0" w:color="auto"/>
        <w:left w:val="none" w:sz="0" w:space="0" w:color="auto"/>
        <w:bottom w:val="none" w:sz="0" w:space="0" w:color="auto"/>
        <w:right w:val="none" w:sz="0" w:space="0" w:color="auto"/>
      </w:divBdr>
    </w:div>
    <w:div w:id="20523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2AF236EA-A316-47A0-A490-9912A52BA0DF}">
  <ds:schemaRefs>
    <ds:schemaRef ds:uri="http://schemas.openxmlformats.org/officeDocument/2006/bibliography"/>
  </ds:schemaRefs>
</ds:datastoreItem>
</file>

<file path=customXml/itemProps2.xml><?xml version="1.0" encoding="utf-8"?>
<ds:datastoreItem xmlns:ds="http://schemas.openxmlformats.org/officeDocument/2006/customXml" ds:itemID="{D801294A-73B2-4681-B762-524601526C1D}"/>
</file>

<file path=customXml/itemProps3.xml><?xml version="1.0" encoding="utf-8"?>
<ds:datastoreItem xmlns:ds="http://schemas.openxmlformats.org/officeDocument/2006/customXml" ds:itemID="{9ECDA0F4-B205-45E8-81EC-42A6733DE060}"/>
</file>

<file path=customXml/itemProps4.xml><?xml version="1.0" encoding="utf-8"?>
<ds:datastoreItem xmlns:ds="http://schemas.openxmlformats.org/officeDocument/2006/customXml" ds:itemID="{6982E27D-FC4E-4AF2-832E-656FB7B3DA74}"/>
</file>

<file path=docProps/app.xml><?xml version="1.0" encoding="utf-8"?>
<Properties xmlns="http://schemas.openxmlformats.org/officeDocument/2006/extended-properties" xmlns:vt="http://schemas.openxmlformats.org/officeDocument/2006/docPropsVTypes">
  <Template>Normal</Template>
  <TotalTime>32</TotalTime>
  <Pages>4</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 sy</dc:creator>
  <cp:keywords/>
  <dc:description/>
  <cp:lastModifiedBy>ANH</cp:lastModifiedBy>
  <cp:revision>8</cp:revision>
  <dcterms:created xsi:type="dcterms:W3CDTF">2026-06-06T03:36:00Z</dcterms:created>
  <dcterms:modified xsi:type="dcterms:W3CDTF">2026-06-06T04:13:00Z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